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</w:pPr>
      <w:r>
        <w:rPr>
          <w:rFonts w:ascii="方正小标宋_GBK" w:hAnsi="方正小标宋_GBK" w:eastAsia="方正小标宋_GBK" w:cs="方正小标宋_GBK"/>
          <w:color w:val="000000"/>
          <w:sz w:val="43"/>
          <w:szCs w:val="43"/>
        </w:rPr>
        <w:t>内蒙古自治区人民政府办公厅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  <w:t>关于印发《内蒙古自治区建立长期护理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  <w:t>保险制度实施方案》的通知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（内政办发〔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50号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各</w:t>
      </w:r>
      <w:r>
        <w:rPr>
          <w:rFonts w:ascii="仿宋" w:hAnsi="仿宋" w:eastAsia="仿宋" w:cs="仿宋"/>
          <w:color w:val="000000"/>
          <w:sz w:val="32"/>
          <w:szCs w:val="32"/>
        </w:rPr>
        <w:t>盟行政公署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、市人民政府，自治区各委、办、厅、局，各大企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、事业单位：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经自治区人民政府同意，现将《内蒙古自治区建立长期护理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险制度实施方案》印发给你们，请结合实际，认真贯彻落实。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2025年12月31日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（本文有删减）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  <w:t>内</w:t>
      </w: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  <w:t>蒙</w:t>
      </w: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  <w:t>古</w:t>
      </w: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  <w:t>自</w:t>
      </w: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  <w:t>治</w:t>
      </w: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  <w:t>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  <w:t>建立长期护理保险制度实施方案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" w:hAnsi="仿宋" w:eastAsia="仿宋" w:cs="仿宋"/>
          <w:color w:val="00000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为深入贯彻落实《中共中央办公厅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国务院办公厅关于加快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立长期护理保险制度的意见》精神，结合自治区实际，制定本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一、总体要求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党的二十大和二十届历次全会精神，紧紧围绕铸牢中华民族共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体意识主线，坚持以人民为中心，积极应对人口老龄化，建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覆盖全民、统筹城乡、公平统一、安全规范、可持续的长期护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保险制度，更好满足失能人员长期护理基本保障需求。综合考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各地区经济社会发展水平、基金支撑能力、群众基本保障需求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因素，分步分批推进制度建设。用3年时间建立健全适应我区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际的长期护理保险制度，实现统筹地区全覆盖。已建立长期护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保险制度的呼和浩特市、乌海市和满洲里市于2028年底前按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本方案要求实现平稳过渡。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二、主要任务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" w:hAnsi="楷体" w:eastAsia="楷体" w:cs="楷体"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一）构建统筹城乡的长期护理保险制度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1.统一确立基本制度。建立覆盖全民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人人参与、公平享有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长期护理保险制度。基金统一建账，资金统筹使用。起步阶段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点解决重度失能人员长期护理基本保障问题。加强与医疗、福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及救助等衔接，引导支持社会力量参与。鼓励商业保险公司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积极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发展商业长期护理保险产品，更好地满足群众多元化的长期护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保障需求。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2.统一制度覆盖范围。参加我区基本医疗保险（以下简称基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医保）的用人单位（包括企业、事业单位、机关、社会组织）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及单位职工、退休人员、灵活就业人员和未就业城乡居民等按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属地管理原则，参加长期护理保险。各地区可先从就业人员等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群保障起步，结合当地经济发展水平、资金筹集能力、保障需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等因素，逐步将未就业城乡居民纳入保障范围。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3.统一基金统筹层次。制度建立之初，实行盟市级统筹，基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统收统支，管理服务一体。同一统筹地区实现保障人群、筹资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策、待遇标准、基金管理、经办服务、信息系统“六统一”。随着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度健全完善，逐步提高统筹层次。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（二）建立动态平衡的筹资运行机制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4.建立稳定可持续筹资渠道。参加长期护理保险，单位职工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用人单位和个人共同缴费，退休人员由个人按规定缴费。职工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本医保统筹基金结余较充足的地区，建立制度当年可在确保参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人医疗保险待遇权益和职工基本医保基金中长期可持续的基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上，经测算评估确保调整职工基本医保单位费率后职工基本医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统筹基金累计结余可支付月数不少于12个月且不出现当期赤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的条件下，合理调整职工基本医保单位费率（不超过长期护理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险单位费率），用作长期护理保险单位费率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未就业城乡居民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个人缴费基础上，政府按规定给予补助。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5.合理确定筹资标准。长期护理保险费率统一为0.3%。单位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工费率由用人单位和个人按同比例各0.15%分担，用人单位缴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部分以单位基本医保缴费基数为基数，个人缴费部分以本人基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医保缴费基数为基数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退休人员费率同单位职工个人费率，缴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基数为本人基本养老金，由个人缴费，原用人单位不缴费。参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职工基本医保的灵活就业人员按单位职工费率0.3%缴费，缴费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数按不低于自治区上年度城镇非私营单位和私营单位加权计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的全口径城镇单位就业人员平均工资的80%确定，由个人缴费。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加居民基本医保的灵活就业人员按未就业城乡居民长期护理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险参保政策参保缴费。未就业城乡居民长期护理保险费由个人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费和政府补助按1∶1左右分担，缴费基数为上年度全区全体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民人均可支配收入。各地区建立制度当年，未就业城乡居民费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可从0.15%起步，用5年左右时间逐步过渡到统一费率0.3%。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符合条件的困难人群，各级财政比照医疗救助资助对象予以分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资助，全额资助特困人员，定额资助低保对象、符合条件的防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返贫致贫对象。定额资助标准不低于当期长期护理保险个人缴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的45%，具体标准由各地区结合实际确定。18周岁以下未就业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员跟随父母或其他法定抚养人等参保，不单独筹资。孤儿、事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无人抚养儿童等中无法跟随参保的，可视同参保。职工医保个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账户可代缴本人和近亲属参加长期护理保险的个人缴费部分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休人员的缴费，可从其职工医保个人账户代扣代缴，有条件的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区也可由发放基本养老金的社会保险经办机构代扣代缴。鼓励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过慈善捐赠、高龄老年人护理补贴和残疾人护理补贴等多种渠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道，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对特定人群参加长期护理保险个人缴费部分和享受待遇的个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自付费用给予补助。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（三）实施公平适度的待遇保障政策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6.合理确定待遇保障水平。按规定参保缴费且失能状态持续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6个月以上，经申请通过评估认定为重度失能的人员，可按规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享受相关待遇。待遇享受不设起付标准。符合规定的长期护理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务目录项目费用纳入报销范围，按未就业城乡居民参保的，基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支付比例总体保持在50%左右；按单位职工参保的，基金支付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例总体保持在70%左右，退休人员享受单位职工参保待遇；灵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就业人员依选择的参保政策类型享受相应待遇。符合待遇享受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件的18周岁以下未就业人员，按未就业城乡居民标准享受待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。基金年度最高支付限额不高于上年度全区全体居民人均可支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收入的50%，就业人员和未就业城乡居民保持适度差距，逐步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衡待遇水平。按照失能等级、服务方式等不同实行差别化待遇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障政策。鼓励使用居家和社区护理服务，支付比例适当倾斜。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则上不直接向失能人员发放现金。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7.建立居民参保激励约束机制。对参加城乡居民长期护理保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连续每缴满一定年限的享受待遇时可在应有支付比例上递增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定比例，原则上最高支付比例不超过55%。除新生儿、退役军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等特殊群体外，对未在当地制度启动时初次参保或未连续参保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人员，设置参保后固定待遇等待期6个月；原则上每多晚参或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保1年，在固定待遇等待期基础上增加变动待遇等待期1个月，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保人员可通过缴费修复变动待遇等待期，每多缴纳1年可减少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个月变动待遇等待期。连续晚参或断缴4年及以上的，修复后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定待遇等待期和变动待遇等待期之和原则上不少于9个月。具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措施和标准由各地区根据自身情况确定。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8.规范基金支付范围。基金主要用于支付符合规定的长期护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服务机构和人员提供长期护理基本服务所发生的费用。属于机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床位费、膳食费等非护理服务费用的，长期护理保险基金不予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付。按规定应从医疗保险、工伤保险等其他社会保险支付的费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以及应由第三方依法承担的护理服务费用，长期护理保险基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不予支付。按照国家统一部署，做好长期护理保险与高龄津贴、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认定生活不能自理经济困难老年人护理补贴、经济困难失能老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人等群体集中照护补贴以及重度残疾人护理补贴等政策的衔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接。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建立符合长期护理保险服务特点的支付机制和协商谈判机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（四）建立高效便捷的服务支撑体系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9.整合护理服务资源。立足以居家上门护理为主，社区护理、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构护理为补充，提供规范可及的护理服务，构建长期护理产业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态良好环境。依托社区就近优势、存量医疗资源和基础服务能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力，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支持引导有条件的基层医疗机构、养老服务机构、残疾人托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照护服务机构提供长期护理服务，提升护理服务的可及便利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。发挥家庭医生专业优势，探索“家庭医生+长期护理保险”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式，为失能人员提供个性化长期护理服务。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10.加大人才队伍建设。根据长期照护师国家职业标准，建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健全长期照护师培训培养机制，规范开展职业技能培训和等级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定，对符合条件的给予补贴，不断增强职业吸引力和队伍稳定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。建立完善评估人员规范化培训机制，推进评估人员职业化。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地区根据实际建立专家智库，更好服务于本地区制度建设。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11.强化经办服务能力。加强协议管理，健全完善经办规程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服务标准。建立绩效评价、考核激励、风险防范机制，提升经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服务管理水平。做好保费征收，长期护理保险与基本医保共同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费。按照“一人一档”原则，做好参保缴费和待遇享受等信息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记录和管理。可引入社会力量参与长期护理保险经办管理服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务，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相关费用按规定支付。加强评估、服务等国家标准落地应用，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升数据质量，推动数据共享和业务协同，研究做好跨地区长期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理保险关系转移接续工作，建立完善异地参保、异地享受待遇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关制度。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12.规范信息化建设应用。按照全国统一医保信息平台已有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能应用尽用、定制开发最小必须的原则进行长期护理保险信息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建设与应用，不得以任何形式和理由重复建设，确保信息化建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既有弹性又安全可控、整体统一。规范使用并完善强化医保信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平台长期护理保险功能，推进长期护理保险信息化标准化建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（五）建立科学规范的运行管理体系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13.加强失能等级评估管理。各地区要使用国家长期护理保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失能等级评估标准开展评估。鼓励支持发展独立的评估机构，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行定点管理。定点评估机构不得同时承担依评估结论而开展的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期护理服务工作，不得同时承担长期护理保险经办工作。推动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关部门按需使用评估结果，探索建立评估结果跨地区互认机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。建立健全评估服务费由基金和个人合理分担机制，避免随意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度使用评估申请权。原则上首次评估通过的以及按规定参加定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复评的评估服务费由基金支付。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14.加强护理服务管理。长期护理服务机构实行定点管理，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要为失能人员提供基本长期护理服务，提供的服务类型主要包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居家护理、社区护理和机构护理。新建制地区要严格执行国家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一的长期护理保险服务项目目录。此前开展长期护理保险制度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点的城市按照国家层面统一服务项目要求逐步规范。定点服务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构应严格履行长期护理服务协议，建立与长期护理保险相适应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内部管理和运营制度。建立健全与护理服务协议续签、服务费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支付等挂钩的服务质量评价机制和费用控制激励约束机制。加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基金结算管理。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15.加强基金预算管理。长期护理保险基金纳入社会保险基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财政专户，单独建账、单独管理、单独核算、专款专用。做好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长期精算分析，在长期护理保险基金出现支付困难时，应当按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规定及时调整筹资或待遇政策。将长期护理保险纳入社会保险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金预算编制范围，科学编制收支预算，加强预算绩效管理，健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基金预算管理制度，严格执行基金财务制度，加强基金财务管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理，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规范基金收支，做好基金会计核算和统计分析。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（六）建立严密有效的基金监管体系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16.建立基金监管机制。坚持以收定支、收支平衡，建立基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运行监控和风险防范机制。加强财会监督和审计监督，严肃财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纪律，确保基金安全。探索建立信用管理制度，明确守信激励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失信惩戒措施。加强对失能评估、护理服务、经办服务等行为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监管。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17.创新基金监管方式。建立常态化监督检查机制，充分应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医保智能监管子系统，开展实时动态智能监管。利用大数据技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术，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开展疑点数据分析，加强关键环节的监管。建立信息公示制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度，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依法依规向社会公开相关信息，接受社会监督。健全社会监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督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激励机制，完善欺诈骗保举报奖励制度，规范奖励措施。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三、组织实施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区要高度重视，切实加强组织领导，各有关部门按照职责分工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好落实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，形成工作合力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。确有条件的地区，在国家和自治区明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的制度框架下制定改革实施方案，推动制度建设稳步开展。各地区要加强宣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培训和政策解读，积极回应社会关切，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大事项及时按程序请示报告。</w:t>
      </w:r>
    </w:p>
    <w:bookmarkEnd w:id="0"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97892"/>
    <w:rsid w:val="59397892"/>
    <w:rsid w:val="723B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2026-06-12T10:04:00Z</dcterms:created>
  <dc:creator>哈斯高娃:通知发起人</dc:creator>
  <cp:lastModifiedBy>哈斯高娃:通知发起人</cp:lastModifiedBy>
  <dcterms:modified xsi:type="dcterms:W3CDTF">2026-06-12T10:04:33Z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