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exact"/>
        <w:ind w:firstLine="160" w:firstLineChars="50"/>
        <w:rPr>
          <w:rFonts w:hint="eastAsia" w:ascii="仿宋_GB2312" w:hAnsi="华文仿宋" w:eastAsia="仿宋_GB2312"/>
          <w:sz w:val="32"/>
        </w:rPr>
      </w:pPr>
    </w:p>
    <w:p>
      <w:pPr>
        <w:adjustRightInd w:val="0"/>
        <w:snapToGrid w:val="0"/>
        <w:spacing w:line="480" w:lineRule="exact"/>
        <w:ind w:firstLine="160" w:firstLineChars="50"/>
        <w:rPr>
          <w:rFonts w:hint="eastAsia" w:ascii="仿宋_GB2312" w:hAnsi="华文仿宋" w:eastAsia="仿宋_GB2312"/>
          <w:sz w:val="32"/>
        </w:rPr>
      </w:pPr>
      <w:r>
        <w:rPr>
          <w:rFonts w:hint="eastAsia" w:ascii="仿宋_GB2312" w:hAnsi="华文仿宋" w:eastAsia="仿宋_GB2312"/>
          <w:sz w:val="32"/>
        </w:rPr>
        <w:t xml:space="preserve"> </w:t>
      </w:r>
    </w:p>
    <w:p>
      <w:pPr>
        <w:keepNext w:val="0"/>
        <w:keepLines w:val="0"/>
        <w:pageBreakBefore w:val="0"/>
        <w:widowControl w:val="0"/>
        <w:kinsoku/>
        <w:wordWrap/>
        <w:overflowPunct/>
        <w:topLinePunct/>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sz w:val="44"/>
          <w:szCs w:val="44"/>
          <w:lang w:eastAsia="zh-CN"/>
        </w:rPr>
      </w:pPr>
      <w:bookmarkStart w:id="0" w:name="标题"/>
      <w:bookmarkEnd w:id="0"/>
      <w:r>
        <w:rPr>
          <w:rFonts w:hint="eastAsia" w:ascii="方正小标宋_GBK" w:hAnsi="方正小标宋_GBK" w:eastAsia="方正小标宋_GBK" w:cs="方正小标宋_GBK"/>
          <w:sz w:val="44"/>
          <w:szCs w:val="44"/>
          <w:lang w:eastAsia="zh-CN"/>
        </w:rPr>
        <w:t>内蒙古自治区人民政府关于</w:t>
      </w:r>
    </w:p>
    <w:p>
      <w:pPr>
        <w:keepNext w:val="0"/>
        <w:keepLines w:val="0"/>
        <w:pageBreakBefore w:val="0"/>
        <w:widowControl w:val="0"/>
        <w:kinsoku/>
        <w:wordWrap/>
        <w:overflowPunct/>
        <w:topLinePunct/>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下达2026年自治区国民经济和</w:t>
      </w:r>
    </w:p>
    <w:p>
      <w:pPr>
        <w:keepNext w:val="0"/>
        <w:keepLines w:val="0"/>
        <w:pageBreakBefore w:val="0"/>
        <w:widowControl w:val="0"/>
        <w:kinsoku/>
        <w:wordWrap/>
        <w:overflowPunct/>
        <w:topLinePunct/>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社会发展计划的通知</w:t>
      </w:r>
    </w:p>
    <w:p>
      <w:pPr>
        <w:keepNext w:val="0"/>
        <w:keepLines w:val="0"/>
        <w:pageBreakBefore w:val="0"/>
        <w:widowControl w:val="0"/>
        <w:kinsoku/>
        <w:wordWrap/>
        <w:overflowPunct/>
        <w:topLinePunct/>
        <w:autoSpaceDE/>
        <w:autoSpaceDN/>
        <w:bidi w:val="0"/>
        <w:adjustRightInd w:val="0"/>
        <w:snapToGrid w:val="0"/>
        <w:spacing w:line="580" w:lineRule="exact"/>
        <w:ind w:firstLine="160" w:firstLineChars="50"/>
        <w:jc w:val="center"/>
        <w:textAlignment w:val="auto"/>
        <w:rPr>
          <w:rFonts w:hint="eastAsia" w:ascii="仿宋" w:hAnsi="仿宋" w:eastAsia="仿宋" w:cs="仿宋"/>
          <w:sz w:val="32"/>
          <w:szCs w:val="32"/>
        </w:rPr>
      </w:pPr>
      <w:r>
        <w:rPr>
          <w:rFonts w:hint="eastAsia" w:ascii="仿宋" w:hAnsi="仿宋" w:eastAsia="仿宋" w:cs="仿宋"/>
          <w:sz w:val="32"/>
          <w:szCs w:val="32"/>
          <w:lang w:eastAsia="zh-CN"/>
        </w:rPr>
        <w:t>内政发〔2026〕5号</w:t>
      </w:r>
    </w:p>
    <w:p>
      <w:pPr>
        <w:pStyle w:val="2"/>
        <w:rPr>
          <w:rFonts w:hint="eastAsia"/>
          <w:lang w:eastAsia="zh-CN"/>
        </w:rPr>
      </w:pPr>
    </w:p>
    <w:p>
      <w:pPr>
        <w:keepNext w:val="0"/>
        <w:keepLines w:val="0"/>
        <w:pageBreakBefore w:val="0"/>
        <w:widowControl w:val="0"/>
        <w:kinsoku/>
        <w:wordWrap/>
        <w:overflowPunct/>
        <w:topLinePunct/>
        <w:autoSpaceDE/>
        <w:autoSpaceDN/>
        <w:bidi w:val="0"/>
        <w:adjustRightInd/>
        <w:snapToGrid/>
        <w:spacing w:line="240" w:lineRule="exact"/>
        <w:ind w:right="0" w:rightChars="0"/>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320" w:lineRule="exact"/>
        <w:ind w:right="0" w:rightChars="0"/>
        <w:textAlignment w:val="auto"/>
        <w:rPr>
          <w:rFonts w:hint="eastAsia" w:ascii="仿宋" w:hAnsi="仿宋" w:eastAsia="仿宋" w:cs="仿宋"/>
          <w:sz w:val="32"/>
          <w:szCs w:val="32"/>
          <w:lang w:eastAsia="zh-CN"/>
        </w:rPr>
      </w:pPr>
      <w:bookmarkStart w:id="1" w:name="OLE_LINK1"/>
      <w:r>
        <w:rPr>
          <w:rFonts w:hint="eastAsia" w:ascii="仿宋" w:hAnsi="仿宋" w:eastAsia="仿宋" w:cs="仿宋"/>
          <w:sz w:val="32"/>
          <w:szCs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3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年内蒙古自治区国民经济和社会发展计划》</w:t>
      </w:r>
      <w:r>
        <w:rPr>
          <w:rFonts w:hint="eastAsia" w:ascii="仿宋" w:hAnsi="仿宋" w:eastAsia="仿宋" w:cs="仿宋"/>
          <w:sz w:val="32"/>
          <w:szCs w:val="32"/>
          <w:lang w:eastAsia="zh-CN"/>
        </w:rPr>
        <w:t>已经</w:t>
      </w:r>
      <w:r>
        <w:rPr>
          <w:rFonts w:hint="eastAsia" w:ascii="仿宋" w:hAnsi="仿宋" w:eastAsia="仿宋" w:cs="仿宋"/>
          <w:color w:val="auto"/>
          <w:sz w:val="32"/>
          <w:szCs w:val="32"/>
        </w:rPr>
        <w:t>自治区十</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届人大</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次会议审议通过</w:t>
      </w:r>
      <w:r>
        <w:rPr>
          <w:rFonts w:hint="eastAsia" w:ascii="仿宋" w:hAnsi="仿宋" w:eastAsia="仿宋" w:cs="仿宋"/>
          <w:sz w:val="32"/>
          <w:szCs w:val="32"/>
        </w:rPr>
        <w:t>，现予下达，请结合实际，认真贯彻实施。</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textAlignment w:val="auto"/>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right="0" w:righ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2026年2月13日</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（此件公开发布）</w:t>
      </w: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20</w:t>
      </w:r>
      <w:r>
        <w:rPr>
          <w:rFonts w:hint="eastAsia" w:ascii="方正小标宋_GBK" w:hAnsi="方正小标宋_GBK" w:eastAsia="方正小标宋_GBK" w:cs="方正小标宋_GBK"/>
          <w:color w:val="auto"/>
          <w:sz w:val="44"/>
          <w:szCs w:val="44"/>
          <w:lang w:eastAsia="zh-CN"/>
        </w:rPr>
        <w:t>2</w:t>
      </w:r>
      <w:r>
        <w:rPr>
          <w:rFonts w:hint="eastAsia" w:ascii="方正小标宋_GBK" w:hAnsi="方正小标宋_GBK" w:eastAsia="方正小标宋_GBK" w:cs="方正小标宋_GBK"/>
          <w:color w:val="auto"/>
          <w:sz w:val="44"/>
          <w:szCs w:val="44"/>
          <w:lang w:val="en-US" w:eastAsia="zh-CN"/>
        </w:rPr>
        <w:t>6</w:t>
      </w:r>
      <w:r>
        <w:rPr>
          <w:rFonts w:hint="eastAsia" w:ascii="方正小标宋_GBK" w:hAnsi="方正小标宋_GBK" w:eastAsia="方正小标宋_GBK" w:cs="方正小标宋_GBK"/>
          <w:color w:val="auto"/>
          <w:sz w:val="44"/>
          <w:szCs w:val="44"/>
        </w:rPr>
        <w:t>年内蒙古自治区</w:t>
      </w:r>
    </w:p>
    <w:p>
      <w:pPr>
        <w:keepNext w:val="0"/>
        <w:keepLines w:val="0"/>
        <w:pageBreakBefore w:val="0"/>
        <w:widowControl w:val="0"/>
        <w:kinsoku/>
        <w:wordWrap/>
        <w:overflowPunct/>
        <w:topLinePunct/>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pacing w:val="34"/>
          <w:sz w:val="44"/>
          <w:szCs w:val="44"/>
        </w:rPr>
        <w:t>国民经济和社会发展计</w:t>
      </w:r>
      <w:r>
        <w:rPr>
          <w:rFonts w:hint="eastAsia" w:ascii="方正小标宋_GBK" w:hAnsi="方正小标宋_GBK" w:eastAsia="方正小标宋_GBK" w:cs="方正小标宋_GBK"/>
          <w:color w:val="auto"/>
          <w:sz w:val="44"/>
          <w:szCs w:val="44"/>
        </w:rPr>
        <w:t>划</w:t>
      </w:r>
    </w:p>
    <w:p>
      <w:pPr>
        <w:pStyle w:val="2"/>
        <w:keepNext w:val="0"/>
        <w:keepLines w:val="0"/>
        <w:pageBreakBefore w:val="0"/>
        <w:widowControl w:val="0"/>
        <w:kinsoku/>
        <w:wordWrap/>
        <w:overflowPunct/>
        <w:topLinePunct/>
        <w:autoSpaceDE/>
        <w:autoSpaceDN/>
        <w:bidi w:val="0"/>
        <w:adjustRightInd/>
        <w:snapToGrid/>
        <w:spacing w:before="0" w:line="580" w:lineRule="exact"/>
        <w:ind w:right="0" w:rightChars="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autoSpaceDE/>
        <w:autoSpaceDN/>
        <w:bidi w:val="0"/>
        <w:adjustRightInd/>
        <w:snapToGrid/>
        <w:spacing w:line="580" w:lineRule="exact"/>
        <w:ind w:right="0" w:rightChars="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2026年是“十五五”开局之年，按照自治区党委十一届十一次全会暨全区经济工作会议部署，总体要求是：以习近平新时代中国特色社会主义思想为指导，全面贯彻党的二十大和二十届历次全会以及中央经济工作会议精神，深入贯彻落实习近平总书记对内蒙古系列重要讲话重要指示精神，按照自治区党委“1571”工作部署，完整准确全面贯彻新发展理念，积极融入和服务构建新发展格局，着力推动高质量发展，坚持人民至上，坚持稳中求进工作总基调，更好服务国内经济发展和国际经贸斗争大局，更好统筹发展和安全，持续提振需求、优化供给，做优增量、盘活存量，因地制宜发展新质生产力，深度对接全国统一大市场，持续防范化解重点领域风险，着力稳就业、稳企业、稳市场、稳预期，推动经济实现质的有效提升和量的合理增长，保持社会和谐稳定，实现“十五五”良好开局。</w:t>
      </w:r>
    </w:p>
    <w:p>
      <w:pPr>
        <w:keepNext w:val="0"/>
        <w:keepLines w:val="0"/>
        <w:pageBreakBefore w:val="0"/>
        <w:widowControl w:val="0"/>
        <w:kinsoku/>
        <w:wordWrap/>
        <w:overflowPunct/>
        <w:topLinePunct/>
        <w:autoSpaceDE/>
        <w:autoSpaceDN/>
        <w:bidi w:val="0"/>
        <w:adjustRightInd/>
        <w:snapToGrid/>
        <w:spacing w:line="580" w:lineRule="exact"/>
        <w:ind w:right="0" w:rightChars="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2026年经济社会发展的主要预期目标是：地区生产总值增长5%左右，在实际工作中努力争取更好结果；城镇调查失业率5.7%</w:t>
      </w:r>
      <w:r>
        <w:rPr>
          <w:rFonts w:hint="eastAsia" w:ascii="仿宋" w:hAnsi="仿宋" w:eastAsia="仿宋" w:cs="仿宋"/>
          <w:color w:val="auto"/>
          <w:spacing w:val="6"/>
          <w:sz w:val="32"/>
          <w:szCs w:val="32"/>
          <w:u w:val="none"/>
        </w:rPr>
        <w:t>左右，城镇新增就业18万人以上；居民消费价格涨幅2%左右；</w:t>
      </w:r>
      <w:r>
        <w:rPr>
          <w:rFonts w:hint="eastAsia" w:ascii="仿宋" w:hAnsi="仿宋" w:eastAsia="仿宋" w:cs="仿宋"/>
          <w:color w:val="auto"/>
          <w:sz w:val="32"/>
          <w:szCs w:val="32"/>
          <w:u w:val="none"/>
        </w:rPr>
        <w:t>居民收入增长与经济增长同步；粮食产量超过840亿斤；完成国家下达的降碳减排任务。</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pacing w:val="6"/>
          <w:sz w:val="32"/>
          <w:szCs w:val="32"/>
          <w:u w:val="none"/>
        </w:rPr>
      </w:pPr>
      <w:r>
        <w:rPr>
          <w:rFonts w:hint="eastAsia" w:ascii="黑体" w:hAnsi="黑体" w:eastAsia="黑体" w:cs="黑体"/>
          <w:color w:val="auto"/>
          <w:sz w:val="32"/>
          <w:szCs w:val="32"/>
          <w:u w:val="none"/>
          <w:lang w:eastAsia="zh-CN"/>
        </w:rPr>
        <w:t>一、</w:t>
      </w:r>
      <w:r>
        <w:rPr>
          <w:rFonts w:hint="eastAsia" w:ascii="黑体" w:hAnsi="黑体" w:eastAsia="黑体" w:cs="黑体"/>
          <w:color w:val="auto"/>
          <w:spacing w:val="6"/>
          <w:sz w:val="32"/>
          <w:szCs w:val="32"/>
          <w:u w:val="none"/>
        </w:rPr>
        <w:t>把铸牢中华民族共同体意识作为民族地区各项工作的主线</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进一步强化主线意识，完善贯彻主线要求制度机制，健全各族群众共享资源开发、产业发展、项目建设等收益机制。加强对地方性法规、政府规章铸牢中华民族共同体意识的前置审核，推动主线要求落实到历史文化宣传教育、公共文化设施建设、城市标志性建筑建设、旅游景观陈列等各方面。推进中华民族共有精神家园建设，坚持不懈用习近平新时代中国特色社会主义思想凝心铸魂，用好中华民族共同体系列教材和读本，广泛开展“三个离不开”、“四个与共”、“五个认同”等理念教育和“感党恩、听党话、跟党走”群众教育，举办中华民族共有精神家园建设主题</w:t>
      </w:r>
      <w:r>
        <w:rPr>
          <w:rFonts w:hint="eastAsia" w:ascii="仿宋" w:hAnsi="仿宋" w:eastAsia="仿宋" w:cs="仿宋"/>
          <w:color w:val="auto"/>
          <w:spacing w:val="-6"/>
          <w:sz w:val="32"/>
          <w:szCs w:val="32"/>
          <w:u w:val="none"/>
        </w:rPr>
        <w:t>文化活动。构建全区教育实践基地体系，建立常态化长效化宣传教育机制，加强铸牢中华民族共同体意识理论和实践成果展示和推广</w:t>
      </w:r>
      <w:r>
        <w:rPr>
          <w:rFonts w:hint="eastAsia" w:ascii="仿宋" w:hAnsi="仿宋" w:eastAsia="仿宋" w:cs="仿宋"/>
          <w:color w:val="auto"/>
          <w:spacing w:val="-6"/>
          <w:sz w:val="32"/>
          <w:szCs w:val="32"/>
          <w:u w:val="none"/>
          <w:lang w:eastAsia="zh-CN"/>
        </w:rPr>
        <w:t>，发挥好文博场馆作用</w:t>
      </w:r>
      <w:r>
        <w:rPr>
          <w:rFonts w:hint="eastAsia" w:ascii="仿宋" w:hAnsi="仿宋" w:eastAsia="仿宋" w:cs="仿宋"/>
          <w:color w:val="auto"/>
          <w:spacing w:val="-6"/>
          <w:sz w:val="32"/>
          <w:szCs w:val="32"/>
          <w:u w:val="none"/>
        </w:rPr>
        <w:t>。贯彻新修订的</w:t>
      </w:r>
      <w:r>
        <w:rPr>
          <w:rFonts w:hint="eastAsia" w:ascii="仿宋" w:hAnsi="仿宋" w:eastAsia="仿宋" w:cs="仿宋"/>
          <w:color w:val="auto"/>
          <w:spacing w:val="-6"/>
          <w:sz w:val="32"/>
          <w:szCs w:val="32"/>
          <w:u w:val="none"/>
          <w:lang w:eastAsia="zh-CN"/>
        </w:rPr>
        <w:t>《中华人民共和国</w:t>
      </w:r>
      <w:r>
        <w:rPr>
          <w:rFonts w:hint="eastAsia" w:ascii="仿宋" w:hAnsi="仿宋" w:eastAsia="仿宋" w:cs="仿宋"/>
          <w:color w:val="auto"/>
          <w:spacing w:val="-6"/>
          <w:sz w:val="32"/>
          <w:szCs w:val="32"/>
          <w:u w:val="none"/>
        </w:rPr>
        <w:t>通用语言文字法</w:t>
      </w:r>
      <w:r>
        <w:rPr>
          <w:rFonts w:hint="eastAsia" w:ascii="仿宋" w:hAnsi="仿宋" w:eastAsia="仿宋" w:cs="仿宋"/>
          <w:color w:val="auto"/>
          <w:spacing w:val="-6"/>
          <w:sz w:val="32"/>
          <w:szCs w:val="32"/>
          <w:u w:val="none"/>
          <w:lang w:eastAsia="zh-CN"/>
        </w:rPr>
        <w:t>》</w:t>
      </w:r>
      <w:r>
        <w:rPr>
          <w:rFonts w:hint="eastAsia" w:ascii="仿宋" w:hAnsi="仿宋" w:eastAsia="仿宋" w:cs="仿宋"/>
          <w:color w:val="auto"/>
          <w:spacing w:val="-6"/>
          <w:sz w:val="32"/>
          <w:szCs w:val="32"/>
          <w:u w:val="none"/>
        </w:rPr>
        <w:t>，实施国家通用语言文字普及攻坚和质量提升工程，巩固全面推行使用国家统编教材成果。深化民族团结进步创建，编写内蒙古自治区成立80年民族团结进步事业经验和启示丛书，支持通辽</w:t>
      </w:r>
      <w:r>
        <w:rPr>
          <w:rFonts w:hint="eastAsia" w:ascii="仿宋" w:hAnsi="仿宋" w:eastAsia="仿宋" w:cs="仿宋"/>
          <w:color w:val="auto"/>
          <w:spacing w:val="-6"/>
          <w:sz w:val="32"/>
          <w:szCs w:val="32"/>
          <w:u w:val="none"/>
          <w:lang w:eastAsia="zh-CN"/>
        </w:rPr>
        <w:t>市</w:t>
      </w:r>
      <w:r>
        <w:rPr>
          <w:rFonts w:hint="eastAsia" w:ascii="仿宋" w:hAnsi="仿宋" w:eastAsia="仿宋" w:cs="仿宋"/>
          <w:color w:val="auto"/>
          <w:spacing w:val="-6"/>
          <w:sz w:val="32"/>
          <w:szCs w:val="32"/>
          <w:u w:val="none"/>
        </w:rPr>
        <w:t>、乌兰察布</w:t>
      </w:r>
      <w:r>
        <w:rPr>
          <w:rFonts w:hint="eastAsia" w:ascii="仿宋" w:hAnsi="仿宋" w:eastAsia="仿宋" w:cs="仿宋"/>
          <w:color w:val="auto"/>
          <w:spacing w:val="-6"/>
          <w:sz w:val="32"/>
          <w:szCs w:val="32"/>
          <w:u w:val="none"/>
          <w:lang w:eastAsia="zh-CN"/>
        </w:rPr>
        <w:t>市、</w:t>
      </w:r>
      <w:r>
        <w:rPr>
          <w:rFonts w:hint="eastAsia" w:ascii="仿宋" w:hAnsi="仿宋" w:eastAsia="仿宋" w:cs="仿宋"/>
          <w:color w:val="auto"/>
          <w:spacing w:val="-6"/>
          <w:sz w:val="32"/>
          <w:szCs w:val="32"/>
          <w:u w:val="none"/>
        </w:rPr>
        <w:t>乌海</w:t>
      </w:r>
      <w:r>
        <w:rPr>
          <w:rFonts w:hint="eastAsia" w:ascii="仿宋" w:hAnsi="仿宋" w:eastAsia="仿宋" w:cs="仿宋"/>
          <w:color w:val="auto"/>
          <w:spacing w:val="-6"/>
          <w:sz w:val="32"/>
          <w:szCs w:val="32"/>
          <w:u w:val="none"/>
          <w:lang w:eastAsia="zh-CN"/>
        </w:rPr>
        <w:t>市争创</w:t>
      </w:r>
      <w:r>
        <w:rPr>
          <w:rFonts w:hint="eastAsia" w:ascii="仿宋" w:hAnsi="仿宋" w:eastAsia="仿宋" w:cs="仿宋"/>
          <w:color w:val="auto"/>
          <w:spacing w:val="-6"/>
          <w:sz w:val="32"/>
          <w:szCs w:val="32"/>
          <w:u w:val="none"/>
        </w:rPr>
        <w:t>全国民族团结进步示范市。完善防范化解民族领域风险隐患工作机制，依法保障各族群众合法权益。</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z w:val="32"/>
          <w:szCs w:val="32"/>
          <w:u w:val="none"/>
          <w:lang w:eastAsia="zh-CN"/>
        </w:rPr>
      </w:pPr>
      <w:r>
        <w:rPr>
          <w:rFonts w:hint="eastAsia" w:ascii="黑体" w:hAnsi="黑体" w:eastAsia="黑体" w:cs="黑体"/>
          <w:color w:val="auto"/>
          <w:sz w:val="32"/>
          <w:szCs w:val="32"/>
          <w:u w:val="none"/>
          <w:lang w:eastAsia="zh-CN"/>
        </w:rPr>
        <w:t>二、坚持生态优先、绿色发展，筑牢我国北方重要生态安全屏障</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牢固树立和践行绿水青山就是金山银山的理念，加快经济社会发展全面绿色转型，推进美丽内蒙古建设。</w:t>
      </w:r>
    </w:p>
    <w:p>
      <w:pPr>
        <w:keepNext w:val="0"/>
        <w:keepLines w:val="0"/>
        <w:pageBreakBefore w:val="0"/>
        <w:widowControl w:val="0"/>
        <w:kinsoku/>
        <w:wordWrap/>
        <w:overflowPunct/>
        <w:topLinePunct/>
        <w:autoSpaceDE/>
        <w:autoSpaceDN/>
        <w:bidi w:val="0"/>
        <w:adjustRightInd/>
        <w:snapToGrid/>
        <w:spacing w:line="580" w:lineRule="exact"/>
        <w:ind w:right="0" w:rightChars="0" w:firstLineChars="200"/>
        <w:jc w:val="both"/>
        <w:textAlignment w:val="auto"/>
        <w:rPr>
          <w:rFonts w:hint="eastAsia" w:ascii="仿宋" w:hAnsi="仿宋" w:eastAsia="仿宋" w:cs="仿宋"/>
          <w:color w:val="auto"/>
          <w:sz w:val="32"/>
          <w:szCs w:val="32"/>
          <w:u w:val="none"/>
        </w:rPr>
      </w:pPr>
      <w:r>
        <w:rPr>
          <w:rFonts w:hint="eastAsia" w:ascii="楷体" w:hAnsi="楷体" w:eastAsia="楷体" w:cs="楷体"/>
          <w:color w:val="auto"/>
          <w:sz w:val="32"/>
          <w:szCs w:val="32"/>
          <w:u w:val="none"/>
          <w:lang w:eastAsia="zh-CN"/>
        </w:rPr>
        <w:t>（一）</w:t>
      </w:r>
      <w:r>
        <w:rPr>
          <w:rFonts w:hint="eastAsia" w:ascii="楷体" w:hAnsi="楷体" w:eastAsia="楷体" w:cs="楷体"/>
          <w:color w:val="auto"/>
          <w:sz w:val="32"/>
          <w:szCs w:val="32"/>
          <w:u w:val="none"/>
        </w:rPr>
        <w:t>扎实推进“三北”工程攻坚战。</w:t>
      </w:r>
      <w:r>
        <w:rPr>
          <w:rFonts w:hint="eastAsia" w:ascii="仿宋" w:hAnsi="仿宋" w:eastAsia="仿宋" w:cs="仿宋"/>
          <w:color w:val="auto"/>
          <w:sz w:val="32"/>
          <w:szCs w:val="32"/>
          <w:u w:val="none"/>
        </w:rPr>
        <w:t>实施“三北”工程质量年行动，制定“三北”工程六期建设管理办法实施细则，完成生态建设任务4000万亩。统筹推进三大标志性战役生态治理任</w:t>
      </w:r>
      <w:r>
        <w:rPr>
          <w:rFonts w:hint="eastAsia" w:ascii="仿宋" w:hAnsi="仿宋" w:eastAsia="仿宋" w:cs="仿宋"/>
          <w:color w:val="auto"/>
          <w:spacing w:val="6"/>
          <w:sz w:val="32"/>
          <w:szCs w:val="32"/>
          <w:u w:val="none"/>
        </w:rPr>
        <w:t>务，重点推进贺兰山到阴山段沿黄岸线180公里流沙系统治理。</w:t>
      </w:r>
      <w:r>
        <w:rPr>
          <w:rFonts w:hint="eastAsia" w:ascii="仿宋" w:hAnsi="仿宋" w:eastAsia="仿宋" w:cs="仿宋"/>
          <w:color w:val="auto"/>
          <w:sz w:val="32"/>
          <w:szCs w:val="32"/>
          <w:u w:val="none"/>
        </w:rPr>
        <w:t>稳步实施光伏治沙，推动“以路治沙”。健全长效管护机制，提升苗木成活率和建成区管护能力。</w:t>
      </w:r>
    </w:p>
    <w:p>
      <w:pPr>
        <w:keepNext w:val="0"/>
        <w:keepLines w:val="0"/>
        <w:pageBreakBefore w:val="0"/>
        <w:widowControl w:val="0"/>
        <w:kinsoku/>
        <w:wordWrap/>
        <w:overflowPunct/>
        <w:topLinePunct/>
        <w:autoSpaceDE/>
        <w:autoSpaceDN/>
        <w:bidi w:val="0"/>
        <w:adjustRightInd/>
        <w:snapToGrid/>
        <w:spacing w:line="580" w:lineRule="exact"/>
        <w:ind w:right="0" w:rightChars="0" w:firstLineChars="200"/>
        <w:jc w:val="both"/>
        <w:textAlignment w:val="auto"/>
        <w:rPr>
          <w:rFonts w:hint="eastAsia" w:ascii="仿宋" w:hAnsi="仿宋" w:eastAsia="仿宋" w:cs="仿宋"/>
          <w:color w:val="auto"/>
          <w:sz w:val="32"/>
          <w:szCs w:val="32"/>
          <w:u w:val="none"/>
        </w:rPr>
      </w:pPr>
      <w:r>
        <w:rPr>
          <w:rFonts w:hint="eastAsia" w:ascii="楷体" w:hAnsi="楷体" w:eastAsia="楷体" w:cs="楷体"/>
          <w:color w:val="auto"/>
          <w:sz w:val="32"/>
          <w:szCs w:val="32"/>
          <w:u w:val="none"/>
          <w:lang w:eastAsia="zh-CN"/>
        </w:rPr>
        <w:t>（二）进一步加强生态保护和修复。</w:t>
      </w:r>
      <w:r>
        <w:rPr>
          <w:rFonts w:hint="eastAsia" w:ascii="仿宋" w:hAnsi="仿宋" w:eastAsia="仿宋" w:cs="仿宋"/>
          <w:color w:val="auto"/>
          <w:sz w:val="32"/>
          <w:szCs w:val="32"/>
          <w:u w:val="none"/>
        </w:rPr>
        <w:t>加快美丽中国先行区和</w:t>
      </w:r>
      <w:r>
        <w:rPr>
          <w:rFonts w:hint="eastAsia" w:ascii="仿宋" w:hAnsi="仿宋" w:eastAsia="仿宋" w:cs="仿宋"/>
          <w:color w:val="auto"/>
          <w:spacing w:val="6"/>
          <w:sz w:val="32"/>
          <w:szCs w:val="32"/>
          <w:u w:val="none"/>
        </w:rPr>
        <w:t>国家生态文明试验区创建，承办2026年全国生态日主场活动。</w:t>
      </w:r>
      <w:r>
        <w:rPr>
          <w:rFonts w:hint="eastAsia" w:ascii="仿宋" w:hAnsi="仿宋" w:eastAsia="仿宋" w:cs="仿宋"/>
          <w:color w:val="auto"/>
          <w:sz w:val="32"/>
          <w:szCs w:val="32"/>
          <w:u w:val="none"/>
        </w:rPr>
        <w:t>推深做实林长制，</w:t>
      </w:r>
      <w:r>
        <w:rPr>
          <w:rFonts w:hint="eastAsia" w:ascii="仿宋" w:hAnsi="仿宋" w:eastAsia="仿宋" w:cs="仿宋"/>
          <w:color w:val="auto"/>
          <w:sz w:val="32"/>
          <w:szCs w:val="32"/>
          <w:u w:val="none"/>
          <w:lang w:eastAsia="zh-CN"/>
        </w:rPr>
        <w:t>推动</w:t>
      </w:r>
      <w:r>
        <w:rPr>
          <w:rFonts w:hint="eastAsia" w:ascii="仿宋" w:hAnsi="仿宋" w:eastAsia="仿宋" w:cs="仿宋"/>
          <w:color w:val="auto"/>
          <w:sz w:val="32"/>
          <w:szCs w:val="32"/>
          <w:u w:val="none"/>
        </w:rPr>
        <w:t>制定自治区草原保护和管理条例，持续开展毁林毁草整治。抓好黄河流域生态环境保护，提升黄河、“一湖两海”及察汗淖尔等河湖湿地治理成效，持续推进西辽河流域生态复苏。实施包头、阿拉善等6个国家历史遗留废弃矿山生态修复示范工程。</w:t>
      </w:r>
    </w:p>
    <w:p>
      <w:pPr>
        <w:keepNext w:val="0"/>
        <w:keepLines w:val="0"/>
        <w:pageBreakBefore w:val="0"/>
        <w:widowControl w:val="0"/>
        <w:kinsoku/>
        <w:wordWrap/>
        <w:overflowPunct/>
        <w:topLinePunct/>
        <w:autoSpaceDE/>
        <w:autoSpaceDN/>
        <w:bidi w:val="0"/>
        <w:adjustRightInd/>
        <w:snapToGrid/>
        <w:spacing w:line="580" w:lineRule="exact"/>
        <w:ind w:right="0" w:rightChars="0" w:firstLineChars="200"/>
        <w:jc w:val="both"/>
        <w:textAlignment w:val="auto"/>
        <w:rPr>
          <w:rFonts w:hint="eastAsia" w:ascii="仿宋" w:hAnsi="仿宋" w:eastAsia="仿宋" w:cs="仿宋"/>
          <w:color w:val="auto"/>
          <w:sz w:val="32"/>
          <w:szCs w:val="32"/>
          <w:u w:val="none"/>
        </w:rPr>
      </w:pPr>
      <w:r>
        <w:rPr>
          <w:rFonts w:hint="eastAsia" w:ascii="楷体" w:hAnsi="楷体" w:eastAsia="楷体" w:cs="楷体"/>
          <w:color w:val="auto"/>
          <w:sz w:val="32"/>
          <w:szCs w:val="32"/>
          <w:u w:val="none"/>
          <w:lang w:eastAsia="zh-CN"/>
        </w:rPr>
        <w:t>（三）强化水资源管理和节约利用。</w:t>
      </w:r>
      <w:r>
        <w:rPr>
          <w:rFonts w:hint="eastAsia" w:ascii="仿宋" w:hAnsi="仿宋" w:eastAsia="仿宋" w:cs="仿宋"/>
          <w:color w:val="auto"/>
          <w:sz w:val="32"/>
          <w:szCs w:val="32"/>
          <w:u w:val="none"/>
        </w:rPr>
        <w:t>严格落实“四水四定”</w:t>
      </w:r>
      <w:r>
        <w:rPr>
          <w:rFonts w:hint="eastAsia" w:ascii="仿宋" w:hAnsi="仿宋" w:eastAsia="仿宋" w:cs="仿宋"/>
          <w:color w:val="auto"/>
          <w:spacing w:val="6"/>
          <w:sz w:val="32"/>
          <w:szCs w:val="32"/>
          <w:u w:val="none"/>
        </w:rPr>
        <w:t>原则，实施黄河流域强制性用水定额管理制度。提高用水效能，</w:t>
      </w:r>
      <w:r>
        <w:rPr>
          <w:rFonts w:hint="eastAsia" w:ascii="仿宋" w:hAnsi="仿宋" w:eastAsia="仿宋" w:cs="仿宋"/>
          <w:color w:val="auto"/>
          <w:sz w:val="32"/>
          <w:szCs w:val="32"/>
          <w:u w:val="none"/>
        </w:rPr>
        <w:t>发展节水技术。抓好农牧业节水增效，推进大中型灌区现代化改造。加强工业节水减排，优先为工业项目配置中水、矿井水等非常规水源。推进地下水超采区治理，逐步削减地下水超采量。继续落实好居民生活用水阶梯水价制度和非居民用水及特种用水超定额（计划）累进加价制度。加快构建现代化水网，完成引绰济辽及二期工程建设，开工建设河套灌区现代化改造</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乌布林水库等重点项目，实施黄河内蒙古段河道治理工程，开展大黑河和美岱沟等13条河流、300条中型以上侵蚀沟治理，汛期前完成哈素海等区域水毁工程修复。强化河湖长制。</w:t>
      </w:r>
    </w:p>
    <w:p>
      <w:pPr>
        <w:keepNext w:val="0"/>
        <w:keepLines w:val="0"/>
        <w:pageBreakBefore w:val="0"/>
        <w:widowControl w:val="0"/>
        <w:kinsoku/>
        <w:wordWrap/>
        <w:overflowPunct/>
        <w:topLinePunct/>
        <w:autoSpaceDE/>
        <w:autoSpaceDN/>
        <w:bidi w:val="0"/>
        <w:adjustRightInd/>
        <w:snapToGrid/>
        <w:spacing w:line="580" w:lineRule="exact"/>
        <w:ind w:right="0" w:rightChars="0"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（四）深入打好污染防治攻坚战。</w:t>
      </w:r>
      <w:r>
        <w:rPr>
          <w:rFonts w:hint="eastAsia" w:ascii="仿宋" w:hAnsi="仿宋" w:eastAsia="仿宋" w:cs="仿宋"/>
          <w:color w:val="auto"/>
          <w:spacing w:val="0"/>
          <w:sz w:val="32"/>
          <w:szCs w:val="32"/>
          <w:u w:val="none"/>
        </w:rPr>
        <w:t>推进乌海及周边地区等重点区域大气污染联防联治。实施入河排污口排查整治、工业园区水污染综合治理。强化农用地和建设用地土壤污染风险管控。推</w:t>
      </w:r>
      <w:r>
        <w:rPr>
          <w:rFonts w:hint="eastAsia" w:ascii="仿宋" w:hAnsi="仿宋" w:eastAsia="仿宋" w:cs="仿宋"/>
          <w:color w:val="auto"/>
          <w:spacing w:val="-6"/>
          <w:sz w:val="32"/>
          <w:szCs w:val="32"/>
          <w:u w:val="none"/>
        </w:rPr>
        <w:t>进煤矸石、粉煤灰、冶金渣、化工渣等大宗工业固废源头减量、</w:t>
      </w:r>
      <w:r>
        <w:rPr>
          <w:rFonts w:hint="eastAsia" w:ascii="仿宋" w:hAnsi="仿宋" w:eastAsia="仿宋" w:cs="仿宋"/>
          <w:color w:val="auto"/>
          <w:spacing w:val="0"/>
          <w:sz w:val="32"/>
          <w:szCs w:val="32"/>
          <w:u w:val="none"/>
        </w:rPr>
        <w:t>综合利用，</w:t>
      </w:r>
      <w:r>
        <w:rPr>
          <w:rFonts w:hint="eastAsia" w:ascii="仿宋" w:hAnsi="仿宋" w:eastAsia="仿宋" w:cs="仿宋"/>
          <w:color w:val="auto"/>
          <w:spacing w:val="0"/>
          <w:sz w:val="32"/>
          <w:szCs w:val="32"/>
          <w:u w:val="none"/>
          <w:lang w:eastAsia="zh-CN"/>
        </w:rPr>
        <w:t>依法依规</w:t>
      </w:r>
      <w:r>
        <w:rPr>
          <w:rFonts w:hint="eastAsia" w:ascii="仿宋" w:hAnsi="仿宋" w:eastAsia="仿宋" w:cs="仿宋"/>
          <w:color w:val="auto"/>
          <w:spacing w:val="0"/>
          <w:sz w:val="32"/>
          <w:szCs w:val="32"/>
          <w:u w:val="none"/>
        </w:rPr>
        <w:t>严厉打击非法倾倒建筑垃圾</w:t>
      </w:r>
      <w:r>
        <w:rPr>
          <w:rFonts w:hint="eastAsia" w:ascii="仿宋" w:hAnsi="仿宋" w:eastAsia="仿宋" w:cs="仿宋"/>
          <w:color w:val="auto"/>
          <w:spacing w:val="0"/>
          <w:sz w:val="32"/>
          <w:szCs w:val="32"/>
          <w:u w:val="none"/>
          <w:lang w:eastAsia="zh-CN"/>
        </w:rPr>
        <w:t>行为</w:t>
      </w:r>
      <w:r>
        <w:rPr>
          <w:rFonts w:hint="eastAsia" w:ascii="仿宋" w:hAnsi="仿宋" w:eastAsia="仿宋" w:cs="仿宋"/>
          <w:color w:val="auto"/>
          <w:spacing w:val="0"/>
          <w:sz w:val="32"/>
          <w:szCs w:val="32"/>
          <w:u w:val="none"/>
        </w:rPr>
        <w:t>。加快形成节约集约生产方式，持续强化高效用地，加强废弃物循环利用和再生资源高效利用。</w:t>
      </w:r>
    </w:p>
    <w:p>
      <w:pPr>
        <w:keepNext w:val="0"/>
        <w:keepLines w:val="0"/>
        <w:pageBreakBefore w:val="0"/>
        <w:widowControl w:val="0"/>
        <w:kinsoku/>
        <w:wordWrap/>
        <w:overflowPunct/>
        <w:topLinePunct/>
        <w:autoSpaceDE/>
        <w:autoSpaceDN/>
        <w:bidi w:val="0"/>
        <w:adjustRightInd/>
        <w:snapToGrid/>
        <w:spacing w:line="580" w:lineRule="exact"/>
        <w:ind w:right="0" w:rightChars="0"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（五）“双碳”引领推动全面绿色转型。</w:t>
      </w:r>
      <w:r>
        <w:rPr>
          <w:rFonts w:hint="eastAsia" w:ascii="仿宋" w:hAnsi="仿宋" w:eastAsia="仿宋" w:cs="仿宋"/>
          <w:color w:val="auto"/>
          <w:spacing w:val="0"/>
          <w:sz w:val="32"/>
          <w:szCs w:val="32"/>
          <w:u w:val="none"/>
        </w:rPr>
        <w:t>实施碳排</w:t>
      </w:r>
      <w:r>
        <w:rPr>
          <w:rFonts w:hint="eastAsia" w:ascii="仿宋" w:hAnsi="仿宋" w:eastAsia="仿宋" w:cs="仿宋"/>
          <w:color w:val="auto"/>
          <w:spacing w:val="-6"/>
          <w:sz w:val="32"/>
          <w:szCs w:val="32"/>
          <w:u w:val="none"/>
        </w:rPr>
        <w:t>放总量和强</w:t>
      </w:r>
      <w:r>
        <w:rPr>
          <w:rFonts w:hint="eastAsia" w:ascii="仿宋" w:hAnsi="仿宋" w:eastAsia="仿宋" w:cs="仿宋"/>
          <w:color w:val="auto"/>
          <w:spacing w:val="0"/>
          <w:sz w:val="32"/>
          <w:szCs w:val="32"/>
          <w:u w:val="none"/>
        </w:rPr>
        <w:t>度双控制度，编制“十五五”碳达峰行动方案，开展工业重点行业能效对标提升和绿电、绿氢、电能替代行动。支持零碳园区存量负荷绿电直连，鼓励更多园区、企业创建国家级零碳园区和零碳工厂。健全碳排放统计核算体系，积极参与全国碳排放权交易市场建设，开展产品碳足迹标识认证，打造“北方绿碳”碳汇品牌，推进呼伦贝尔国家生态产品价值实现机制试点建设。推广绿色低碳生活方式。</w:t>
      </w:r>
    </w:p>
    <w:p>
      <w:pPr>
        <w:keepNext w:val="0"/>
        <w:keepLines w:val="0"/>
        <w:pageBreakBefore w:val="0"/>
        <w:widowControl w:val="0"/>
        <w:numPr>
          <w:ilvl w:val="0"/>
          <w:numId w:val="0"/>
        </w:numPr>
        <w:kinsoku/>
        <w:wordWrap/>
        <w:overflowPunct/>
        <w:topLinePunct/>
        <w:autoSpaceDE/>
        <w:autoSpaceDN/>
        <w:bidi w:val="0"/>
        <w:adjustRightInd/>
        <w:snapToGrid/>
        <w:spacing w:after="157" w:afterLines="50" w:line="580" w:lineRule="exact"/>
        <w:ind w:right="0" w:rightChars="0" w:firstLine="640" w:firstLineChars="200"/>
        <w:jc w:val="both"/>
        <w:textAlignment w:val="auto"/>
        <w:rPr>
          <w:rFonts w:hint="eastAsia" w:ascii="黑体" w:hAnsi="黑体" w:eastAsia="黑体" w:cs="黑体"/>
          <w:color w:val="auto"/>
          <w:spacing w:val="0"/>
          <w:sz w:val="32"/>
          <w:szCs w:val="32"/>
          <w:u w:val="none"/>
          <w:lang w:eastAsia="zh-CN"/>
        </w:rPr>
      </w:pPr>
      <w:r>
        <w:rPr>
          <w:rFonts w:hint="eastAsia" w:ascii="黑体" w:hAnsi="黑体" w:eastAsia="黑体" w:cs="黑体"/>
          <w:color w:val="auto"/>
          <w:spacing w:val="0"/>
          <w:sz w:val="32"/>
          <w:szCs w:val="32"/>
          <w:u w:val="none"/>
          <w:lang w:eastAsia="zh-CN"/>
        </w:rPr>
        <w:t>专栏1</w:t>
      </w:r>
      <w:r>
        <w:rPr>
          <w:rFonts w:hint="eastAsia" w:ascii="黑体" w:hAnsi="黑体" w:eastAsia="黑体" w:cs="黑体"/>
          <w:color w:val="auto"/>
          <w:spacing w:val="0"/>
          <w:sz w:val="32"/>
          <w:szCs w:val="32"/>
          <w:u w:val="none"/>
          <w:lang w:val="en-US" w:eastAsia="zh-CN"/>
        </w:rPr>
        <w:t xml:space="preserve">  </w:t>
      </w:r>
      <w:r>
        <w:rPr>
          <w:rFonts w:hint="eastAsia" w:ascii="黑体" w:hAnsi="黑体" w:eastAsia="黑体" w:cs="黑体"/>
          <w:color w:val="auto"/>
          <w:spacing w:val="0"/>
          <w:sz w:val="32"/>
          <w:szCs w:val="32"/>
          <w:u w:val="none"/>
          <w:lang w:eastAsia="zh-CN"/>
        </w:rPr>
        <w:t>建设我国北方重要生态安全屏障重点任务目标</w:t>
      </w:r>
    </w:p>
    <w:tbl>
      <w:tblPr>
        <w:tblStyle w:val="11"/>
        <w:tblW w:w="8847"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2497"/>
        <w:gridCol w:w="635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821" w:hRule="atLeast"/>
          <w:jc w:val="center"/>
        </w:trPr>
        <w:tc>
          <w:tcPr>
            <w:tcW w:w="2497" w:type="dxa"/>
            <w:tcBorders>
              <w:tl2br w:val="nil"/>
              <w:tr2bl w:val="nil"/>
            </w:tcBorders>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“三北”工程</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攻坚战</w:t>
            </w:r>
          </w:p>
        </w:tc>
        <w:tc>
          <w:tcPr>
            <w:tcW w:w="6350" w:type="dxa"/>
            <w:tcBorders>
              <w:tl2br w:val="nil"/>
              <w:tr2bl w:val="nil"/>
            </w:tcBorders>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1.</w:t>
            </w:r>
            <w:r>
              <w:rPr>
                <w:rFonts w:hint="eastAsia" w:ascii="仿宋" w:hAnsi="仿宋" w:eastAsia="仿宋" w:cs="仿宋"/>
                <w:color w:val="auto"/>
                <w:spacing w:val="0"/>
                <w:sz w:val="28"/>
                <w:szCs w:val="28"/>
                <w:u w:val="none"/>
              </w:rPr>
              <w:t>防沙治沙1500万亩</w:t>
            </w:r>
            <w:r>
              <w:rPr>
                <w:rFonts w:hint="eastAsia" w:ascii="仿宋" w:hAnsi="仿宋" w:eastAsia="仿宋" w:cs="仿宋"/>
                <w:color w:val="auto"/>
                <w:spacing w:val="0"/>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2.</w:t>
            </w:r>
            <w:r>
              <w:rPr>
                <w:rFonts w:hint="eastAsia" w:ascii="仿宋" w:hAnsi="仿宋" w:eastAsia="仿宋" w:cs="仿宋"/>
                <w:color w:val="auto"/>
                <w:spacing w:val="0"/>
                <w:sz w:val="28"/>
                <w:szCs w:val="28"/>
                <w:u w:val="none"/>
              </w:rPr>
              <w:t>新改建穿沙公路2600公里</w:t>
            </w:r>
            <w:r>
              <w:rPr>
                <w:rFonts w:hint="eastAsia" w:ascii="仿宋" w:hAnsi="仿宋" w:eastAsia="仿宋" w:cs="仿宋"/>
                <w:color w:val="auto"/>
                <w:spacing w:val="0"/>
                <w:sz w:val="28"/>
                <w:szCs w:val="28"/>
                <w:u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874" w:hRule="atLeast"/>
          <w:jc w:val="center"/>
        </w:trPr>
        <w:tc>
          <w:tcPr>
            <w:tcW w:w="2497" w:type="dxa"/>
            <w:tcBorders>
              <w:tl2br w:val="nil"/>
              <w:tr2bl w:val="nil"/>
            </w:tcBorders>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生态保护和</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修</w:t>
            </w:r>
            <w:r>
              <w:rPr>
                <w:rFonts w:hint="eastAsia" w:ascii="黑体" w:hAnsi="黑体" w:eastAsia="黑体" w:cs="黑体"/>
                <w:color w:val="auto"/>
                <w:spacing w:val="0"/>
                <w:sz w:val="28"/>
                <w:szCs w:val="28"/>
                <w:u w:val="none"/>
                <w:lang w:val="en-US" w:eastAsia="zh-CN"/>
              </w:rPr>
              <w:t xml:space="preserve">  </w:t>
            </w:r>
            <w:r>
              <w:rPr>
                <w:rFonts w:hint="eastAsia" w:ascii="黑体" w:hAnsi="黑体" w:eastAsia="黑体" w:cs="黑体"/>
                <w:color w:val="auto"/>
                <w:spacing w:val="0"/>
                <w:sz w:val="28"/>
                <w:szCs w:val="28"/>
                <w:u w:val="none"/>
              </w:rPr>
              <w:t>复</w:t>
            </w:r>
          </w:p>
        </w:tc>
        <w:tc>
          <w:tcPr>
            <w:tcW w:w="6350" w:type="dxa"/>
            <w:tcBorders>
              <w:tl2br w:val="nil"/>
              <w:tr2bl w:val="nil"/>
            </w:tcBorders>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1.</w:t>
            </w:r>
            <w:r>
              <w:rPr>
                <w:rFonts w:hint="eastAsia" w:ascii="仿宋" w:hAnsi="仿宋" w:eastAsia="仿宋" w:cs="仿宋"/>
                <w:color w:val="auto"/>
                <w:spacing w:val="0"/>
                <w:sz w:val="28"/>
                <w:szCs w:val="28"/>
                <w:u w:val="none"/>
              </w:rPr>
              <w:t>完成水土流失综合治理1128万亩</w:t>
            </w:r>
            <w:r>
              <w:rPr>
                <w:rFonts w:hint="eastAsia" w:ascii="仿宋" w:hAnsi="仿宋" w:eastAsia="仿宋" w:cs="仿宋"/>
                <w:color w:val="auto"/>
                <w:spacing w:val="0"/>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2.</w:t>
            </w:r>
            <w:r>
              <w:rPr>
                <w:rFonts w:hint="eastAsia" w:ascii="仿宋" w:hAnsi="仿宋" w:eastAsia="仿宋" w:cs="仿宋"/>
                <w:color w:val="auto"/>
                <w:spacing w:val="0"/>
                <w:sz w:val="28"/>
                <w:szCs w:val="28"/>
                <w:u w:val="none"/>
              </w:rPr>
              <w:t>新建绿色矿山50座</w:t>
            </w:r>
            <w:r>
              <w:rPr>
                <w:rFonts w:hint="eastAsia" w:ascii="仿宋" w:hAnsi="仿宋" w:eastAsia="仿宋" w:cs="仿宋"/>
                <w:color w:val="auto"/>
                <w:spacing w:val="0"/>
                <w:sz w:val="28"/>
                <w:szCs w:val="28"/>
                <w:u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029" w:hRule="atLeast"/>
          <w:jc w:val="center"/>
        </w:trPr>
        <w:tc>
          <w:tcPr>
            <w:tcW w:w="2497" w:type="dxa"/>
            <w:tcBorders>
              <w:tl2br w:val="nil"/>
              <w:tr2bl w:val="nil"/>
            </w:tcBorders>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水资源管理和</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节约利用</w:t>
            </w:r>
          </w:p>
        </w:tc>
        <w:tc>
          <w:tcPr>
            <w:tcW w:w="6350" w:type="dxa"/>
            <w:tcBorders>
              <w:tl2br w:val="nil"/>
              <w:tr2bl w:val="nil"/>
            </w:tcBorders>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rPr>
              <w:t>农田灌溉水有效利用系数达到0.593</w:t>
            </w:r>
            <w:r>
              <w:rPr>
                <w:rFonts w:hint="eastAsia" w:ascii="仿宋" w:hAnsi="仿宋" w:eastAsia="仿宋" w:cs="仿宋"/>
                <w:color w:val="auto"/>
                <w:spacing w:val="0"/>
                <w:sz w:val="28"/>
                <w:szCs w:val="28"/>
                <w:u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582" w:hRule="atLeast"/>
          <w:jc w:val="center"/>
        </w:trPr>
        <w:tc>
          <w:tcPr>
            <w:tcW w:w="2497" w:type="dxa"/>
            <w:tcBorders>
              <w:tl2br w:val="nil"/>
              <w:tr2bl w:val="nil"/>
            </w:tcBorders>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污染防治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攻坚战</w:t>
            </w:r>
          </w:p>
        </w:tc>
        <w:tc>
          <w:tcPr>
            <w:tcW w:w="6350" w:type="dxa"/>
            <w:tcBorders>
              <w:tl2br w:val="nil"/>
              <w:tr2bl w:val="nil"/>
            </w:tcBorders>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1.</w:t>
            </w:r>
            <w:r>
              <w:rPr>
                <w:rFonts w:hint="eastAsia" w:ascii="仿宋" w:hAnsi="仿宋" w:eastAsia="仿宋" w:cs="仿宋"/>
                <w:color w:val="auto"/>
                <w:spacing w:val="0"/>
                <w:sz w:val="28"/>
                <w:szCs w:val="28"/>
                <w:u w:val="none"/>
              </w:rPr>
              <w:t>细颗粒物（PM</w:t>
            </w:r>
            <w:r>
              <w:rPr>
                <w:rFonts w:hint="eastAsia" w:ascii="仿宋" w:hAnsi="仿宋" w:eastAsia="仿宋" w:cs="仿宋"/>
                <w:color w:val="auto"/>
                <w:spacing w:val="0"/>
                <w:sz w:val="28"/>
                <w:szCs w:val="28"/>
                <w:u w:val="none"/>
                <w:vertAlign w:val="subscript"/>
              </w:rPr>
              <w:t>2.5</w:t>
            </w:r>
            <w:r>
              <w:rPr>
                <w:rFonts w:hint="eastAsia" w:ascii="仿宋" w:hAnsi="仿宋" w:eastAsia="仿宋" w:cs="仿宋"/>
                <w:color w:val="auto"/>
                <w:spacing w:val="0"/>
                <w:sz w:val="28"/>
                <w:szCs w:val="28"/>
                <w:u w:val="none"/>
              </w:rPr>
              <w:t>）浓度保持在25微克/立方米以下</w:t>
            </w:r>
            <w:r>
              <w:rPr>
                <w:rFonts w:hint="eastAsia" w:ascii="仿宋" w:hAnsi="仿宋" w:eastAsia="仿宋" w:cs="仿宋"/>
                <w:color w:val="auto"/>
                <w:spacing w:val="0"/>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2.</w:t>
            </w:r>
            <w:r>
              <w:rPr>
                <w:rFonts w:hint="eastAsia" w:ascii="仿宋" w:hAnsi="仿宋" w:eastAsia="仿宋" w:cs="仿宋"/>
                <w:color w:val="auto"/>
                <w:spacing w:val="0"/>
                <w:sz w:val="28"/>
                <w:szCs w:val="28"/>
                <w:u w:val="none"/>
              </w:rPr>
              <w:t>黄河干流国考断面水质保持Ⅱ类</w:t>
            </w:r>
            <w:r>
              <w:rPr>
                <w:rFonts w:hint="eastAsia" w:ascii="仿宋" w:hAnsi="仿宋" w:eastAsia="仿宋" w:cs="仿宋"/>
                <w:color w:val="auto"/>
                <w:spacing w:val="0"/>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3.</w:t>
            </w:r>
            <w:r>
              <w:rPr>
                <w:rFonts w:hint="eastAsia" w:ascii="仿宋" w:hAnsi="仿宋" w:eastAsia="仿宋" w:cs="仿宋"/>
                <w:color w:val="auto"/>
                <w:spacing w:val="0"/>
                <w:sz w:val="28"/>
                <w:szCs w:val="28"/>
                <w:u w:val="none"/>
              </w:rPr>
              <w:t>推进“无废城市”建设</w:t>
            </w:r>
            <w:r>
              <w:rPr>
                <w:rFonts w:hint="eastAsia" w:ascii="仿宋" w:hAnsi="仿宋" w:eastAsia="仿宋" w:cs="仿宋"/>
                <w:color w:val="auto"/>
                <w:spacing w:val="0"/>
                <w:sz w:val="28"/>
                <w:szCs w:val="28"/>
                <w:u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894" w:hRule="atLeast"/>
          <w:jc w:val="center"/>
        </w:trPr>
        <w:tc>
          <w:tcPr>
            <w:tcW w:w="2497" w:type="dxa"/>
            <w:tcBorders>
              <w:tl2br w:val="nil"/>
              <w:tr2bl w:val="nil"/>
            </w:tcBorders>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“双碳”引领推动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全面绿色转型</w:t>
            </w:r>
          </w:p>
        </w:tc>
        <w:tc>
          <w:tcPr>
            <w:tcW w:w="6350" w:type="dxa"/>
            <w:tcBorders>
              <w:tl2br w:val="nil"/>
              <w:tr2bl w:val="nil"/>
            </w:tcBorders>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1.</w:t>
            </w:r>
            <w:r>
              <w:rPr>
                <w:rFonts w:hint="eastAsia" w:ascii="仿宋" w:hAnsi="仿宋" w:eastAsia="仿宋" w:cs="仿宋"/>
                <w:color w:val="auto"/>
                <w:spacing w:val="0"/>
                <w:sz w:val="28"/>
                <w:szCs w:val="28"/>
                <w:u w:val="none"/>
              </w:rPr>
              <w:t>加快推进鄂尔多斯蒙苏经济开发区、包头稀土高新技术产业开发区国家级零碳园区建设</w:t>
            </w:r>
            <w:r>
              <w:rPr>
                <w:rFonts w:hint="eastAsia" w:ascii="仿宋" w:hAnsi="仿宋" w:eastAsia="仿宋" w:cs="仿宋"/>
                <w:color w:val="auto"/>
                <w:spacing w:val="0"/>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2.</w:t>
            </w:r>
            <w:r>
              <w:rPr>
                <w:rFonts w:hint="eastAsia" w:ascii="仿宋" w:hAnsi="仿宋" w:eastAsia="仿宋" w:cs="仿宋"/>
                <w:color w:val="auto"/>
                <w:spacing w:val="0"/>
                <w:sz w:val="28"/>
                <w:szCs w:val="28"/>
                <w:u w:val="none"/>
              </w:rPr>
              <w:t>有序推进呼和浩特</w:t>
            </w:r>
            <w:r>
              <w:rPr>
                <w:rFonts w:hint="eastAsia" w:ascii="仿宋" w:hAnsi="仿宋" w:eastAsia="仿宋" w:cs="仿宋"/>
                <w:color w:val="auto"/>
                <w:spacing w:val="0"/>
                <w:sz w:val="28"/>
                <w:szCs w:val="28"/>
                <w:u w:val="none"/>
                <w:lang w:eastAsia="zh-CN"/>
              </w:rPr>
              <w:t>市</w:t>
            </w:r>
            <w:r>
              <w:rPr>
                <w:rFonts w:hint="eastAsia" w:ascii="仿宋" w:hAnsi="仿宋" w:eastAsia="仿宋" w:cs="仿宋"/>
                <w:color w:val="auto"/>
                <w:spacing w:val="0"/>
                <w:sz w:val="28"/>
                <w:szCs w:val="28"/>
                <w:u w:val="none"/>
              </w:rPr>
              <w:t>、包头</w:t>
            </w:r>
            <w:r>
              <w:rPr>
                <w:rFonts w:hint="eastAsia" w:ascii="仿宋" w:hAnsi="仿宋" w:eastAsia="仿宋" w:cs="仿宋"/>
                <w:color w:val="auto"/>
                <w:spacing w:val="0"/>
                <w:sz w:val="28"/>
                <w:szCs w:val="28"/>
                <w:u w:val="none"/>
                <w:lang w:eastAsia="zh-CN"/>
              </w:rPr>
              <w:t>市</w:t>
            </w:r>
            <w:r>
              <w:rPr>
                <w:rFonts w:hint="eastAsia" w:ascii="仿宋" w:hAnsi="仿宋" w:eastAsia="仿宋" w:cs="仿宋"/>
                <w:color w:val="auto"/>
                <w:spacing w:val="0"/>
                <w:sz w:val="28"/>
                <w:szCs w:val="28"/>
                <w:u w:val="none"/>
              </w:rPr>
              <w:t>、鄂尔多斯</w:t>
            </w:r>
            <w:r>
              <w:rPr>
                <w:rFonts w:hint="eastAsia" w:ascii="仿宋" w:hAnsi="仿宋" w:eastAsia="仿宋" w:cs="仿宋"/>
                <w:color w:val="auto"/>
                <w:spacing w:val="0"/>
                <w:sz w:val="28"/>
                <w:szCs w:val="28"/>
                <w:u w:val="none"/>
                <w:lang w:eastAsia="zh-CN"/>
              </w:rPr>
              <w:t>市</w:t>
            </w:r>
            <w:r>
              <w:rPr>
                <w:rFonts w:hint="eastAsia" w:ascii="仿宋" w:hAnsi="仿宋" w:eastAsia="仿宋" w:cs="仿宋"/>
                <w:color w:val="auto"/>
                <w:spacing w:val="0"/>
                <w:sz w:val="28"/>
                <w:szCs w:val="28"/>
                <w:u w:val="none"/>
              </w:rPr>
              <w:t>和赤峰高新区国家碳达峰试点建设</w:t>
            </w:r>
            <w:r>
              <w:rPr>
                <w:rFonts w:hint="eastAsia" w:ascii="仿宋" w:hAnsi="仿宋" w:eastAsia="仿宋" w:cs="仿宋"/>
                <w:color w:val="auto"/>
                <w:spacing w:val="0"/>
                <w:sz w:val="28"/>
                <w:szCs w:val="28"/>
                <w:u w:val="none"/>
                <w:lang w:eastAsia="zh-CN"/>
              </w:rPr>
              <w:t>。</w:t>
            </w:r>
          </w:p>
        </w:tc>
      </w:tr>
    </w:tbl>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pacing w:val="0"/>
          <w:sz w:val="32"/>
          <w:szCs w:val="32"/>
          <w:u w:val="none"/>
          <w:lang w:eastAsia="zh-CN"/>
        </w:rPr>
      </w:pPr>
      <w:r>
        <w:rPr>
          <w:rFonts w:hint="eastAsia" w:ascii="黑体" w:hAnsi="黑体" w:eastAsia="黑体" w:cs="黑体"/>
          <w:color w:val="auto"/>
          <w:spacing w:val="0"/>
          <w:sz w:val="32"/>
          <w:szCs w:val="32"/>
          <w:u w:val="none"/>
          <w:lang w:eastAsia="zh-CN"/>
        </w:rPr>
        <w:t>三、更好统筹发展和安全，筑牢祖国北疆安全稳定屏障</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84" w:firstLineChars="200"/>
        <w:jc w:val="both"/>
        <w:textAlignment w:val="auto"/>
        <w:rPr>
          <w:rFonts w:hint="eastAsia" w:ascii="仿宋" w:hAnsi="仿宋" w:eastAsia="仿宋" w:cs="仿宋"/>
          <w:color w:val="auto"/>
          <w:spacing w:val="11"/>
          <w:sz w:val="32"/>
          <w:szCs w:val="32"/>
          <w:u w:val="none"/>
        </w:rPr>
      </w:pPr>
      <w:r>
        <w:rPr>
          <w:rFonts w:hint="eastAsia" w:ascii="仿宋" w:hAnsi="仿宋" w:eastAsia="仿宋" w:cs="仿宋"/>
          <w:color w:val="auto"/>
          <w:spacing w:val="11"/>
          <w:sz w:val="32"/>
          <w:szCs w:val="32"/>
          <w:u w:val="none"/>
        </w:rPr>
        <w:t>坚定不移贯彻总体国家安全观，有效防范化解各类风险隐患。</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（一）积极稳妥防范化解重点领域风险。</w:t>
      </w:r>
      <w:r>
        <w:rPr>
          <w:rFonts w:hint="eastAsia" w:ascii="仿宋" w:hAnsi="仿宋" w:eastAsia="仿宋" w:cs="仿宋"/>
          <w:color w:val="auto"/>
          <w:spacing w:val="0"/>
          <w:sz w:val="32"/>
          <w:szCs w:val="32"/>
          <w:u w:val="none"/>
        </w:rPr>
        <w:t>完成政府隐性债务化解和清理拖欠企业账款年度任务，严肃查处新增隐性债务、化债不实等问题，做好</w:t>
      </w:r>
      <w:r>
        <w:rPr>
          <w:rFonts w:hint="eastAsia" w:ascii="仿宋" w:hAnsi="仿宋" w:eastAsia="仿宋" w:cs="仿宋"/>
          <w:color w:val="auto"/>
          <w:spacing w:val="0"/>
          <w:sz w:val="32"/>
          <w:szCs w:val="32"/>
          <w:u w:val="none"/>
          <w:lang w:eastAsia="zh-CN"/>
        </w:rPr>
        <w:t>政府和社会资本合作（</w:t>
      </w:r>
      <w:r>
        <w:rPr>
          <w:rFonts w:hint="eastAsia" w:ascii="仿宋" w:hAnsi="仿宋" w:eastAsia="仿宋" w:cs="仿宋"/>
          <w:color w:val="auto"/>
          <w:spacing w:val="0"/>
          <w:sz w:val="32"/>
          <w:szCs w:val="32"/>
          <w:u w:val="none"/>
        </w:rPr>
        <w:t>PPP</w:t>
      </w:r>
      <w:r>
        <w:rPr>
          <w:rFonts w:hint="eastAsia" w:ascii="仿宋" w:hAnsi="仿宋" w:eastAsia="仿宋" w:cs="仿宋"/>
          <w:color w:val="auto"/>
          <w:spacing w:val="0"/>
          <w:sz w:val="32"/>
          <w:szCs w:val="32"/>
          <w:u w:val="none"/>
          <w:lang w:eastAsia="zh-CN"/>
        </w:rPr>
        <w:t>）</w:t>
      </w:r>
      <w:r>
        <w:rPr>
          <w:rFonts w:hint="eastAsia" w:ascii="仿宋" w:hAnsi="仿宋" w:eastAsia="仿宋" w:cs="仿宋"/>
          <w:color w:val="auto"/>
          <w:spacing w:val="0"/>
          <w:sz w:val="32"/>
          <w:szCs w:val="32"/>
          <w:u w:val="none"/>
        </w:rPr>
        <w:t>存量项目风险防范。认真执行</w:t>
      </w:r>
      <w:r>
        <w:rPr>
          <w:rFonts w:hint="eastAsia" w:ascii="仿宋" w:hAnsi="仿宋" w:eastAsia="仿宋" w:cs="仿宋"/>
          <w:color w:val="auto"/>
          <w:spacing w:val="0"/>
          <w:sz w:val="32"/>
          <w:szCs w:val="32"/>
          <w:u w:val="none"/>
          <w:lang w:eastAsia="zh-CN"/>
        </w:rPr>
        <w:t>《中华人民共和国</w:t>
      </w:r>
      <w:r>
        <w:rPr>
          <w:rFonts w:hint="eastAsia" w:ascii="仿宋" w:hAnsi="仿宋" w:eastAsia="仿宋" w:cs="仿宋"/>
          <w:color w:val="auto"/>
          <w:spacing w:val="0"/>
          <w:sz w:val="32"/>
          <w:szCs w:val="32"/>
          <w:u w:val="none"/>
        </w:rPr>
        <w:t>预算法</w:t>
      </w:r>
      <w:r>
        <w:rPr>
          <w:rFonts w:hint="eastAsia" w:ascii="仿宋" w:hAnsi="仿宋" w:eastAsia="仿宋" w:cs="仿宋"/>
          <w:color w:val="auto"/>
          <w:spacing w:val="0"/>
          <w:sz w:val="32"/>
          <w:szCs w:val="32"/>
          <w:u w:val="none"/>
          <w:lang w:eastAsia="zh-CN"/>
        </w:rPr>
        <w:t>》</w:t>
      </w:r>
      <w:r>
        <w:rPr>
          <w:rFonts w:hint="eastAsia" w:ascii="仿宋" w:hAnsi="仿宋" w:eastAsia="仿宋" w:cs="仿宋"/>
          <w:color w:val="auto"/>
          <w:spacing w:val="0"/>
          <w:sz w:val="32"/>
          <w:szCs w:val="32"/>
          <w:u w:val="none"/>
        </w:rPr>
        <w:t>，完善财政专户管理制度</w:t>
      </w:r>
      <w:r>
        <w:rPr>
          <w:rFonts w:hint="eastAsia" w:ascii="仿宋" w:hAnsi="仿宋" w:eastAsia="仿宋" w:cs="仿宋"/>
          <w:color w:val="auto"/>
          <w:spacing w:val="0"/>
          <w:sz w:val="32"/>
          <w:szCs w:val="32"/>
          <w:u w:val="none"/>
          <w:lang w:eastAsia="zh-CN"/>
        </w:rPr>
        <w:t>和</w:t>
      </w:r>
      <w:r>
        <w:rPr>
          <w:rFonts w:hint="eastAsia" w:ascii="仿宋" w:hAnsi="仿宋" w:eastAsia="仿宋" w:cs="仿宋"/>
          <w:color w:val="auto"/>
          <w:spacing w:val="0"/>
          <w:sz w:val="32"/>
          <w:szCs w:val="32"/>
          <w:u w:val="none"/>
        </w:rPr>
        <w:t>“三保”专户管理机制，坚决兜牢基层“三保”底线。出台财政承受能力评估办法</w:t>
      </w:r>
      <w:r>
        <w:rPr>
          <w:rFonts w:hint="eastAsia" w:ascii="仿宋" w:hAnsi="仿宋" w:eastAsia="仿宋" w:cs="仿宋"/>
          <w:color w:val="auto"/>
          <w:spacing w:val="0"/>
          <w:sz w:val="32"/>
          <w:szCs w:val="32"/>
          <w:u w:val="none"/>
          <w:lang w:eastAsia="zh-CN"/>
        </w:rPr>
        <w:t>、</w:t>
      </w:r>
      <w:r>
        <w:rPr>
          <w:rFonts w:hint="eastAsia" w:ascii="仿宋" w:hAnsi="仿宋" w:eastAsia="仿宋" w:cs="仿宋"/>
          <w:color w:val="auto"/>
          <w:spacing w:val="0"/>
          <w:sz w:val="32"/>
          <w:szCs w:val="32"/>
          <w:u w:val="none"/>
        </w:rPr>
        <w:t>中央竞争性项目资金配套办法，提级审批债务高风险地区政府投资项目，规范政府购买服务行为。积极推进中小金融机构减量提质、高风险机构“退高摘帽”。分类处置化解房地产领域风险，完成保交楼、保交房扫尾清零工作。</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（二）守好守牢安全生产底线。</w:t>
      </w:r>
      <w:r>
        <w:rPr>
          <w:rFonts w:hint="eastAsia" w:ascii="仿宋" w:hAnsi="仿宋" w:eastAsia="仿宋" w:cs="仿宋"/>
          <w:color w:val="auto"/>
          <w:spacing w:val="0"/>
          <w:sz w:val="32"/>
          <w:szCs w:val="32"/>
          <w:u w:val="none"/>
        </w:rPr>
        <w:t>深刻汲取</w:t>
      </w:r>
      <w:r>
        <w:rPr>
          <w:rFonts w:hint="eastAsia" w:ascii="仿宋" w:hAnsi="仿宋" w:eastAsia="仿宋" w:cs="仿宋"/>
          <w:b w:val="0"/>
          <w:bCs w:val="0"/>
          <w:color w:val="auto"/>
          <w:spacing w:val="0"/>
          <w:sz w:val="32"/>
          <w:szCs w:val="32"/>
          <w:u w:val="none"/>
        </w:rPr>
        <w:t>包钢板材厂爆炸事</w:t>
      </w:r>
      <w:r>
        <w:rPr>
          <w:rFonts w:hint="eastAsia" w:ascii="仿宋" w:hAnsi="仿宋" w:eastAsia="仿宋" w:cs="仿宋"/>
          <w:b w:val="0"/>
          <w:bCs w:val="0"/>
          <w:color w:val="auto"/>
          <w:spacing w:val="6"/>
          <w:sz w:val="32"/>
          <w:szCs w:val="32"/>
          <w:u w:val="none"/>
        </w:rPr>
        <w:t>故教训</w:t>
      </w:r>
      <w:r>
        <w:rPr>
          <w:rFonts w:hint="eastAsia" w:ascii="仿宋" w:hAnsi="仿宋" w:eastAsia="仿宋" w:cs="仿宋"/>
          <w:color w:val="auto"/>
          <w:spacing w:val="6"/>
          <w:sz w:val="32"/>
          <w:szCs w:val="32"/>
          <w:u w:val="none"/>
        </w:rPr>
        <w:t>，开展建筑施工、高层建筑、交通运输、矿山、危化品、</w:t>
      </w:r>
      <w:r>
        <w:rPr>
          <w:rFonts w:hint="eastAsia" w:ascii="仿宋" w:hAnsi="仿宋" w:eastAsia="仿宋" w:cs="仿宋"/>
          <w:color w:val="auto"/>
          <w:spacing w:val="0"/>
          <w:sz w:val="32"/>
          <w:szCs w:val="32"/>
          <w:u w:val="none"/>
        </w:rPr>
        <w:t>燃气、消防、旅游等重点领域安全隐患排查整治，强化大型活动安全管控，坚决遏制重特大事故发生。健全“大安全大应急”体系，完善自然灾害特别是“雨带北抬”监测防控措施，严防森林</w:t>
      </w:r>
      <w:r>
        <w:rPr>
          <w:rFonts w:hint="eastAsia" w:ascii="仿宋" w:hAnsi="仿宋" w:eastAsia="仿宋" w:cs="仿宋"/>
          <w:color w:val="auto"/>
          <w:spacing w:val="6"/>
          <w:sz w:val="32"/>
          <w:szCs w:val="32"/>
          <w:u w:val="none"/>
        </w:rPr>
        <w:t>草原火灾，加强区域综合性应急救援基地、航空应急救援体系、</w:t>
      </w:r>
      <w:r>
        <w:rPr>
          <w:rFonts w:hint="eastAsia" w:ascii="仿宋" w:hAnsi="仿宋" w:eastAsia="仿宋" w:cs="仿宋"/>
          <w:color w:val="auto"/>
          <w:spacing w:val="0"/>
          <w:sz w:val="32"/>
          <w:szCs w:val="32"/>
          <w:u w:val="none"/>
        </w:rPr>
        <w:t>应急物资储备库、消防救援基础设施等建设。实施全民应急素质提升工程。落实“四个最严”要求，完善食品安全全链条监管机制，提升食品药品安全现代化治理水平。</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（三）</w:t>
      </w:r>
      <w:r>
        <w:rPr>
          <w:rFonts w:hint="eastAsia" w:ascii="楷体" w:hAnsi="楷体" w:eastAsia="楷体" w:cs="楷体"/>
          <w:color w:val="auto"/>
          <w:spacing w:val="-6"/>
          <w:sz w:val="32"/>
          <w:szCs w:val="32"/>
          <w:u w:val="none"/>
          <w:lang w:eastAsia="zh-CN"/>
        </w:rPr>
        <w:t>维护社会大局和谐稳定。</w:t>
      </w:r>
      <w:r>
        <w:rPr>
          <w:rFonts w:hint="eastAsia" w:ascii="仿宋" w:hAnsi="仿宋" w:eastAsia="仿宋" w:cs="仿宋"/>
          <w:color w:val="auto"/>
          <w:spacing w:val="-6"/>
          <w:sz w:val="32"/>
          <w:szCs w:val="32"/>
          <w:u w:val="none"/>
        </w:rPr>
        <w:t>大力支持国防和军队建设，</w:t>
      </w:r>
      <w:r>
        <w:rPr>
          <w:rFonts w:hint="eastAsia" w:ascii="仿宋" w:hAnsi="仿宋" w:eastAsia="仿宋" w:cs="仿宋"/>
          <w:color w:val="auto"/>
          <w:spacing w:val="0"/>
          <w:sz w:val="32"/>
          <w:szCs w:val="32"/>
          <w:u w:val="none"/>
        </w:rPr>
        <w:t>完善双拥工作机制，加强国防教育、国防动员和后备力量建设。实施北疆屏障国家安全保障能力一体化提升工程，严密防范</w:t>
      </w:r>
      <w:r>
        <w:rPr>
          <w:rFonts w:hint="eastAsia" w:ascii="仿宋" w:hAnsi="仿宋" w:eastAsia="仿宋" w:cs="仿宋"/>
          <w:color w:val="auto"/>
          <w:spacing w:val="0"/>
          <w:sz w:val="32"/>
          <w:szCs w:val="32"/>
          <w:u w:val="none"/>
          <w:lang w:eastAsia="zh-CN"/>
        </w:rPr>
        <w:t>和</w:t>
      </w:r>
      <w:r>
        <w:rPr>
          <w:rFonts w:hint="eastAsia" w:ascii="仿宋" w:hAnsi="仿宋" w:eastAsia="仿宋" w:cs="仿宋"/>
          <w:color w:val="auto"/>
          <w:spacing w:val="0"/>
          <w:sz w:val="32"/>
          <w:szCs w:val="32"/>
          <w:u w:val="none"/>
        </w:rPr>
        <w:t>打击敌对势力渗透破坏颠覆活动。深化兴边稳边固边，开展“民营企业进边疆”、“科普边疆行”等活动。坚持和发展新时代“枫桥经</w:t>
      </w:r>
      <w:r>
        <w:rPr>
          <w:rFonts w:hint="eastAsia" w:ascii="仿宋" w:hAnsi="仿宋" w:eastAsia="仿宋" w:cs="仿宋"/>
          <w:color w:val="auto"/>
          <w:spacing w:val="-6"/>
          <w:sz w:val="32"/>
          <w:szCs w:val="32"/>
          <w:u w:val="none"/>
        </w:rPr>
        <w:t>验”，推进信访工作法治化。加快社会治安整体防控体系建设，</w:t>
      </w:r>
      <w:r>
        <w:rPr>
          <w:rFonts w:hint="eastAsia" w:ascii="仿宋" w:hAnsi="仿宋" w:eastAsia="仿宋" w:cs="仿宋"/>
          <w:color w:val="auto"/>
          <w:spacing w:val="0"/>
          <w:sz w:val="32"/>
          <w:szCs w:val="32"/>
          <w:u w:val="none"/>
        </w:rPr>
        <w:t>常态化推进扫黑除恶，严厉打击各类违法犯罪行为。</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pacing w:val="0"/>
          <w:sz w:val="32"/>
          <w:szCs w:val="32"/>
          <w:u w:val="none"/>
          <w:lang w:eastAsia="zh-CN"/>
        </w:rPr>
      </w:pPr>
      <w:r>
        <w:rPr>
          <w:rFonts w:hint="eastAsia" w:ascii="黑体" w:hAnsi="黑体" w:eastAsia="黑体" w:cs="黑体"/>
          <w:color w:val="auto"/>
          <w:spacing w:val="0"/>
          <w:sz w:val="32"/>
          <w:szCs w:val="32"/>
          <w:u w:val="none"/>
          <w:lang w:eastAsia="zh-CN"/>
        </w:rPr>
        <w:t>四、大力发展现代能源经济，建设国家重要能源和战略资源基地</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仿宋" w:hAnsi="仿宋" w:eastAsia="仿宋" w:cs="仿宋"/>
          <w:color w:val="auto"/>
          <w:spacing w:val="0"/>
          <w:sz w:val="32"/>
          <w:szCs w:val="32"/>
          <w:u w:val="none"/>
        </w:rPr>
        <w:t>建设清洁低碳安全高效的新型能源体系，发展战略资源产业，更好保障国家能源资源安全。</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（一）持续夯实能源供应保障基础。</w:t>
      </w:r>
      <w:r>
        <w:rPr>
          <w:rFonts w:hint="eastAsia" w:ascii="仿宋" w:hAnsi="仿宋" w:eastAsia="仿宋" w:cs="仿宋"/>
          <w:color w:val="auto"/>
          <w:spacing w:val="0"/>
          <w:sz w:val="32"/>
          <w:szCs w:val="32"/>
          <w:u w:val="none"/>
        </w:rPr>
        <w:t>科学谋划煤炭开发布局和产能稳定接续，煤炭产量稳定在12.5亿吨以上。推进新型电力系统建设，深入实施电网强网工程，加快蒙西电网智能化改造，新建20个500千伏输变电工程，研究论证阿拉善至蒙中地区特高压柔性直流输电线路。加大油气勘探开发和增储上产力度。推</w:t>
      </w:r>
      <w:r>
        <w:rPr>
          <w:rFonts w:hint="eastAsia" w:ascii="仿宋" w:hAnsi="仿宋" w:eastAsia="仿宋" w:cs="仿宋"/>
          <w:color w:val="auto"/>
          <w:spacing w:val="6"/>
          <w:sz w:val="32"/>
          <w:szCs w:val="32"/>
          <w:u w:val="none"/>
        </w:rPr>
        <w:t>进现代煤化工中试基地建设，推动现代煤化工产业向高价值链延伸。</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（二）提高新能源开发利用水平。</w:t>
      </w:r>
      <w:r>
        <w:rPr>
          <w:rFonts w:hint="eastAsia" w:ascii="仿宋" w:hAnsi="仿宋" w:eastAsia="仿宋" w:cs="仿宋"/>
          <w:color w:val="auto"/>
          <w:spacing w:val="0"/>
          <w:sz w:val="32"/>
          <w:szCs w:val="32"/>
          <w:u w:val="none"/>
        </w:rPr>
        <w:t>全力推动沙戈荒基</w:t>
      </w:r>
      <w:r>
        <w:rPr>
          <w:rFonts w:hint="eastAsia" w:ascii="仿宋" w:hAnsi="仿宋" w:eastAsia="仿宋" w:cs="仿宋"/>
          <w:color w:val="auto"/>
          <w:spacing w:val="-6"/>
          <w:sz w:val="32"/>
          <w:szCs w:val="32"/>
          <w:u w:val="none"/>
        </w:rPr>
        <w:t>地建设，</w:t>
      </w:r>
      <w:r>
        <w:rPr>
          <w:rFonts w:hint="eastAsia" w:ascii="仿宋" w:hAnsi="仿宋" w:eastAsia="仿宋" w:cs="仿宋"/>
          <w:color w:val="auto"/>
          <w:spacing w:val="0"/>
          <w:sz w:val="32"/>
          <w:szCs w:val="32"/>
          <w:u w:val="none"/>
        </w:rPr>
        <w:t>谋划推动“绿电进京”等新一批沙戈荒基地纳入国家“十五五”规划。加快建设库布其至河北输电通道，推动库布其至江苏、库布其至上海、腾格里至江西输电通道尽快开工，争取库布其至安徽、乌兰布和至浙江输电通道尽快核准，积极推进跨省区绿电交易。研究制定促进新能源消纳若干举措、绿电直连开发建设实施方案，大力推广绿电直连、增量配电网等消纳新模式，拓展零碳园区、绿色算力、绿色氢氨醇等应用场景，推动新增用电量主要由新增新能源发电满足，区内消纳新能源2000亿千瓦时以上。</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（三）加强矿产资源开发利用。</w:t>
      </w:r>
      <w:r>
        <w:rPr>
          <w:rFonts w:hint="eastAsia" w:ascii="仿宋" w:hAnsi="仿宋" w:eastAsia="仿宋" w:cs="仿宋"/>
          <w:color w:val="auto"/>
          <w:spacing w:val="0"/>
          <w:sz w:val="32"/>
          <w:szCs w:val="32"/>
          <w:u w:val="none"/>
        </w:rPr>
        <w:t>持续推动矿产资源综</w:t>
      </w:r>
      <w:r>
        <w:rPr>
          <w:rFonts w:hint="eastAsia" w:ascii="仿宋" w:hAnsi="仿宋" w:eastAsia="仿宋" w:cs="仿宋"/>
          <w:color w:val="auto"/>
          <w:spacing w:val="-6"/>
          <w:sz w:val="32"/>
          <w:szCs w:val="32"/>
          <w:u w:val="none"/>
        </w:rPr>
        <w:t>合利用，</w:t>
      </w:r>
      <w:r>
        <w:rPr>
          <w:rFonts w:hint="eastAsia" w:ascii="仿宋" w:hAnsi="仿宋" w:eastAsia="仿宋" w:cs="仿宋"/>
          <w:color w:val="auto"/>
          <w:spacing w:val="0"/>
          <w:sz w:val="32"/>
          <w:szCs w:val="32"/>
          <w:u w:val="none"/>
        </w:rPr>
        <w:t>出台“十五五”支持稀土产业高质量发展的政策措施，打造全元素、全品类的稀土产业集群。设立稀土产业基金，充分发挥白云鄂博稀土全国重点实验室和国家稀土功能材料制造业创新中心作用，加快轻稀土产业延链补链强链，加大中重稀土开发利用力度，推动高端稀土新材料产业和终端应用产业发展壮大，建设面向全国的稀土产品交易中心。推动重要能源和战略资源勘探开发和增储上产，</w:t>
      </w:r>
      <w:r>
        <w:rPr>
          <w:rFonts w:hint="eastAsia" w:ascii="仿宋" w:hAnsi="仿宋" w:eastAsia="仿宋" w:cs="仿宋"/>
          <w:color w:val="auto"/>
          <w:spacing w:val="0"/>
          <w:sz w:val="32"/>
          <w:szCs w:val="32"/>
          <w:u w:val="none"/>
          <w:lang w:eastAsia="zh-CN"/>
        </w:rPr>
        <w:t>提升利用水平，</w:t>
      </w:r>
      <w:r>
        <w:rPr>
          <w:rFonts w:hint="eastAsia" w:ascii="仿宋" w:hAnsi="仿宋" w:eastAsia="仿宋" w:cs="仿宋"/>
          <w:color w:val="auto"/>
          <w:spacing w:val="0"/>
          <w:sz w:val="32"/>
          <w:szCs w:val="32"/>
          <w:u w:val="none"/>
        </w:rPr>
        <w:t>实施新一轮找矿突破战略行动，完善探产供储销统筹和衔接体系。</w:t>
      </w:r>
    </w:p>
    <w:p>
      <w:pPr>
        <w:pStyle w:val="2"/>
        <w:rPr>
          <w:rFonts w:hint="eastAsia"/>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pacing w:val="0"/>
          <w:sz w:val="32"/>
          <w:szCs w:val="32"/>
          <w:u w:val="none"/>
          <w:lang w:eastAsia="zh-CN"/>
        </w:rPr>
      </w:pPr>
      <w:r>
        <w:rPr>
          <w:rFonts w:hint="eastAsia" w:ascii="黑体" w:hAnsi="黑体" w:eastAsia="黑体" w:cs="黑体"/>
          <w:color w:val="auto"/>
          <w:spacing w:val="0"/>
          <w:sz w:val="32"/>
          <w:szCs w:val="32"/>
          <w:u w:val="none"/>
          <w:lang w:eastAsia="zh-CN"/>
        </w:rPr>
        <w:t>专栏2</w:t>
      </w:r>
      <w:r>
        <w:rPr>
          <w:rFonts w:hint="eastAsia" w:ascii="黑体" w:hAnsi="黑体" w:eastAsia="黑体" w:cs="黑体"/>
          <w:color w:val="auto"/>
          <w:spacing w:val="0"/>
          <w:sz w:val="32"/>
          <w:szCs w:val="32"/>
          <w:u w:val="none"/>
          <w:lang w:val="en-US" w:eastAsia="zh-CN"/>
        </w:rPr>
        <w:t xml:space="preserve">  </w:t>
      </w:r>
      <w:r>
        <w:rPr>
          <w:rFonts w:hint="eastAsia" w:ascii="黑体" w:hAnsi="黑体" w:eastAsia="黑体" w:cs="黑体"/>
          <w:color w:val="auto"/>
          <w:spacing w:val="0"/>
          <w:sz w:val="32"/>
          <w:szCs w:val="32"/>
          <w:u w:val="none"/>
          <w:lang w:eastAsia="zh-CN"/>
        </w:rPr>
        <w:t>建设国家重要能源和战略资源基地重点任务目标</w:t>
      </w:r>
    </w:p>
    <w:tbl>
      <w:tblPr>
        <w:tblStyle w:val="11"/>
        <w:tblW w:w="8847"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2377"/>
        <w:gridCol w:w="647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933" w:hRule="atLeast"/>
          <w:jc w:val="center"/>
        </w:trPr>
        <w:tc>
          <w:tcPr>
            <w:tcW w:w="2377" w:type="dxa"/>
            <w:tcBorders>
              <w:tl2br w:val="nil"/>
              <w:tr2bl w:val="nil"/>
            </w:tcBorders>
            <w:noWrap w:val="0"/>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能源供应保障</w:t>
            </w:r>
          </w:p>
        </w:tc>
        <w:tc>
          <w:tcPr>
            <w:tcW w:w="6470" w:type="dxa"/>
            <w:tcBorders>
              <w:tl2br w:val="nil"/>
              <w:tr2bl w:val="nil"/>
            </w:tcBorders>
            <w:noWrap w:val="0"/>
            <w:tcMar>
              <w:top w:w="23" w:type="dxa"/>
              <w:left w:w="42" w:type="dxa"/>
              <w:bottom w:w="23" w:type="dxa"/>
              <w:right w:w="42"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1.</w:t>
            </w:r>
            <w:r>
              <w:rPr>
                <w:rFonts w:hint="eastAsia" w:ascii="仿宋" w:hAnsi="仿宋" w:eastAsia="仿宋" w:cs="仿宋"/>
                <w:color w:val="auto"/>
                <w:spacing w:val="0"/>
                <w:sz w:val="28"/>
                <w:szCs w:val="28"/>
                <w:u w:val="none"/>
              </w:rPr>
              <w:t>坚决完成国家煤</w:t>
            </w:r>
            <w:r>
              <w:rPr>
                <w:rFonts w:hint="eastAsia" w:ascii="仿宋" w:hAnsi="仿宋" w:eastAsia="仿宋" w:cs="仿宋"/>
                <w:color w:val="auto"/>
                <w:spacing w:val="0"/>
                <w:sz w:val="28"/>
                <w:szCs w:val="28"/>
                <w:u w:val="none"/>
                <w:lang w:eastAsia="zh-CN"/>
              </w:rPr>
              <w:t>炭</w:t>
            </w:r>
            <w:r>
              <w:rPr>
                <w:rFonts w:hint="eastAsia" w:ascii="仿宋" w:hAnsi="仿宋" w:eastAsia="仿宋" w:cs="仿宋"/>
                <w:color w:val="auto"/>
                <w:spacing w:val="0"/>
                <w:sz w:val="28"/>
                <w:szCs w:val="28"/>
                <w:u w:val="none"/>
              </w:rPr>
              <w:t>保供任务</w:t>
            </w:r>
            <w:r>
              <w:rPr>
                <w:rFonts w:hint="eastAsia" w:ascii="仿宋" w:hAnsi="仿宋" w:eastAsia="仿宋" w:cs="仿宋"/>
                <w:color w:val="auto"/>
                <w:spacing w:val="0"/>
                <w:sz w:val="28"/>
                <w:szCs w:val="28"/>
                <w:u w:val="none"/>
                <w:lang w:eastAsia="zh-CN"/>
              </w:rPr>
              <w:t>。</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2.</w:t>
            </w:r>
            <w:r>
              <w:rPr>
                <w:rFonts w:hint="eastAsia" w:ascii="仿宋" w:hAnsi="仿宋" w:eastAsia="仿宋" w:cs="仿宋"/>
                <w:color w:val="auto"/>
                <w:spacing w:val="0"/>
                <w:sz w:val="28"/>
                <w:szCs w:val="28"/>
                <w:u w:val="none"/>
              </w:rPr>
              <w:t>力争电力装机达到3.3亿千瓦以上，发电量达到9100亿千瓦时</w:t>
            </w:r>
            <w:r>
              <w:rPr>
                <w:rFonts w:hint="eastAsia" w:ascii="仿宋" w:hAnsi="仿宋" w:eastAsia="仿宋" w:cs="仿宋"/>
                <w:color w:val="auto"/>
                <w:spacing w:val="0"/>
                <w:sz w:val="28"/>
                <w:szCs w:val="28"/>
                <w:u w:val="none"/>
                <w:lang w:eastAsia="zh-CN"/>
              </w:rPr>
              <w:t>。</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3.</w:t>
            </w:r>
            <w:r>
              <w:rPr>
                <w:rFonts w:hint="eastAsia" w:ascii="仿宋" w:hAnsi="仿宋" w:eastAsia="仿宋" w:cs="仿宋"/>
                <w:color w:val="auto"/>
                <w:spacing w:val="0"/>
                <w:sz w:val="28"/>
                <w:szCs w:val="28"/>
                <w:u w:val="none"/>
              </w:rPr>
              <w:t>原油产量达到335万吨，天然气产量达到315亿立方米</w:t>
            </w:r>
            <w:r>
              <w:rPr>
                <w:rFonts w:hint="eastAsia" w:ascii="仿宋" w:hAnsi="仿宋" w:eastAsia="仿宋" w:cs="仿宋"/>
                <w:color w:val="auto"/>
                <w:spacing w:val="0"/>
                <w:sz w:val="28"/>
                <w:szCs w:val="28"/>
                <w:u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669" w:hRule="atLeast"/>
          <w:jc w:val="center"/>
        </w:trPr>
        <w:tc>
          <w:tcPr>
            <w:tcW w:w="2377" w:type="dxa"/>
            <w:tcBorders>
              <w:tl2br w:val="nil"/>
              <w:tr2bl w:val="nil"/>
            </w:tcBorders>
            <w:noWrap w:val="0"/>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新能源开发利用</w:t>
            </w:r>
          </w:p>
        </w:tc>
        <w:tc>
          <w:tcPr>
            <w:tcW w:w="6470" w:type="dxa"/>
            <w:tcBorders>
              <w:tl2br w:val="nil"/>
              <w:tr2bl w:val="nil"/>
            </w:tcBorders>
            <w:noWrap w:val="0"/>
            <w:tcMar>
              <w:top w:w="23" w:type="dxa"/>
              <w:left w:w="42" w:type="dxa"/>
              <w:bottom w:w="23" w:type="dxa"/>
              <w:right w:w="42"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1.</w:t>
            </w:r>
            <w:r>
              <w:rPr>
                <w:rFonts w:hint="eastAsia" w:ascii="仿宋" w:hAnsi="仿宋" w:eastAsia="仿宋" w:cs="仿宋"/>
                <w:color w:val="auto"/>
                <w:spacing w:val="0"/>
                <w:sz w:val="28"/>
                <w:szCs w:val="28"/>
                <w:u w:val="none"/>
              </w:rPr>
              <w:t>力争新增新能源并网装机3000万千瓦，总规模超过2亿千瓦，发电量超过3000亿千瓦时</w:t>
            </w:r>
            <w:r>
              <w:rPr>
                <w:rFonts w:hint="eastAsia" w:ascii="仿宋" w:hAnsi="仿宋" w:eastAsia="仿宋" w:cs="仿宋"/>
                <w:color w:val="auto"/>
                <w:spacing w:val="0"/>
                <w:sz w:val="28"/>
                <w:szCs w:val="28"/>
                <w:u w:val="none"/>
                <w:lang w:eastAsia="zh-CN"/>
              </w:rPr>
              <w:t>。</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2.</w:t>
            </w:r>
            <w:r>
              <w:rPr>
                <w:rFonts w:hint="eastAsia" w:ascii="仿宋" w:hAnsi="仿宋" w:eastAsia="仿宋" w:cs="仿宋"/>
                <w:color w:val="auto"/>
                <w:spacing w:val="0"/>
                <w:sz w:val="28"/>
                <w:szCs w:val="28"/>
                <w:u w:val="none"/>
              </w:rPr>
              <w:t>在电网关键节点、新能源富集地区布局建设700万千瓦新型储能项目</w:t>
            </w:r>
            <w:r>
              <w:rPr>
                <w:rFonts w:hint="eastAsia" w:ascii="仿宋" w:hAnsi="仿宋" w:eastAsia="仿宋" w:cs="仿宋"/>
                <w:color w:val="auto"/>
                <w:spacing w:val="0"/>
                <w:sz w:val="28"/>
                <w:szCs w:val="28"/>
                <w:u w:val="none"/>
                <w:lang w:eastAsia="zh-CN"/>
              </w:rPr>
              <w:t>。</w:t>
            </w:r>
          </w:p>
        </w:tc>
      </w:tr>
    </w:tbl>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pacing w:val="0"/>
          <w:sz w:val="32"/>
          <w:szCs w:val="32"/>
          <w:u w:val="none"/>
          <w:lang w:eastAsia="zh-CN"/>
        </w:rPr>
      </w:pPr>
      <w:r>
        <w:rPr>
          <w:rFonts w:hint="eastAsia" w:ascii="黑体" w:hAnsi="黑体" w:eastAsia="黑体" w:cs="黑体"/>
          <w:color w:val="auto"/>
          <w:spacing w:val="0"/>
          <w:sz w:val="32"/>
          <w:szCs w:val="32"/>
          <w:u w:val="none"/>
          <w:lang w:eastAsia="zh-CN"/>
        </w:rPr>
        <w:t>五、加快农牧业转型发展，建设国家重要农畜产品生产基地</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pacing w:val="0"/>
          <w:sz w:val="32"/>
          <w:szCs w:val="32"/>
          <w:u w:val="none"/>
        </w:rPr>
      </w:pPr>
      <w:r>
        <w:rPr>
          <w:rFonts w:hint="eastAsia" w:ascii="仿宋" w:hAnsi="仿宋" w:eastAsia="仿宋" w:cs="仿宋"/>
          <w:color w:val="auto"/>
          <w:spacing w:val="0"/>
          <w:sz w:val="32"/>
          <w:szCs w:val="32"/>
          <w:u w:val="none"/>
        </w:rPr>
        <w:t>出台高质量建设国家重要农畜产品生产基地的实施意见，实施农牧业“种芯”、农牧业创新链建设、农畜产品精深加工、品牌培育和交易平台建设等重点工程。</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（一）提升农牧业综合生产能力。</w:t>
      </w:r>
      <w:r>
        <w:rPr>
          <w:rFonts w:hint="eastAsia" w:ascii="仿宋" w:hAnsi="仿宋" w:eastAsia="仿宋" w:cs="仿宋"/>
          <w:color w:val="auto"/>
          <w:spacing w:val="0"/>
          <w:sz w:val="32"/>
          <w:szCs w:val="32"/>
          <w:u w:val="none"/>
        </w:rPr>
        <w:t>抓好粮食和重要农畜产品稳产保供，严守耕地保护红线，加强粮食储备保障能力和气象灾害防御能力建设，粮食播种面积稳定在1亿亩以上。深化奶业振兴行动，奶产量稳定在750万吨左右。开展肉牛肉羊增产增效行动，育肥牛、育肥羊出栏数分别达到180万头和4000万只以上，肉类产量稳定在310万吨左右。实施饲草料供给提升行动，人工饲草种植保有面积稳定在2000万亩以上，各类饲草供给保障能力保持在7800万吨左右。</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（二）大力推进农牧业现代化。</w:t>
      </w:r>
      <w:r>
        <w:rPr>
          <w:rFonts w:hint="eastAsia" w:ascii="仿宋" w:hAnsi="仿宋" w:eastAsia="仿宋" w:cs="仿宋"/>
          <w:color w:val="auto"/>
          <w:spacing w:val="0"/>
          <w:sz w:val="32"/>
          <w:szCs w:val="32"/>
          <w:u w:val="none"/>
        </w:rPr>
        <w:t>实施主要粮油作物大面积单产提升建设年行动和设施农牧业现代化提升行动，持续促进黑土地保护，新建和改造提升高标准农田600万亩以上，改造提升盐碱耕地50万亩，新建高效节水灌溉面积200万亩以上，新增和改造提升设施农业10万亩，新建改扩建牲畜棚圈500万平方米以上。建设生产能力5000万株以上现代设施集约化育苗中心4个，农作物良种繁育基地面积稳定在150万亩以上。建设全国领先的牛、羊、牧草种源基地和国家高水平南繁科研育种基地。推进羊绒产业高质量发展，优质原绒产量达到7000吨以上。发展林草产业，力争产值达到1200亿元。</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（三）推动精深加工和品牌建设。</w:t>
      </w:r>
      <w:r>
        <w:rPr>
          <w:rFonts w:hint="eastAsia" w:ascii="仿宋" w:hAnsi="仿宋" w:eastAsia="仿宋" w:cs="仿宋"/>
          <w:color w:val="auto"/>
          <w:spacing w:val="0"/>
          <w:sz w:val="32"/>
          <w:szCs w:val="32"/>
          <w:u w:val="none"/>
        </w:rPr>
        <w:t>实施农畜产品精深加工工程，制定支持绿色农畜产品高质量发展的</w:t>
      </w:r>
      <w:r>
        <w:rPr>
          <w:rFonts w:hint="eastAsia" w:ascii="仿宋" w:hAnsi="仿宋" w:eastAsia="仿宋" w:cs="仿宋"/>
          <w:color w:val="auto"/>
          <w:spacing w:val="0"/>
          <w:sz w:val="32"/>
          <w:szCs w:val="32"/>
          <w:u w:val="none"/>
          <w:lang w:eastAsia="zh-CN"/>
        </w:rPr>
        <w:t>政策措施</w:t>
      </w:r>
      <w:r>
        <w:rPr>
          <w:rFonts w:hint="eastAsia" w:ascii="仿宋" w:hAnsi="仿宋" w:eastAsia="仿宋" w:cs="仿宋"/>
          <w:color w:val="auto"/>
          <w:spacing w:val="0"/>
          <w:sz w:val="32"/>
          <w:szCs w:val="32"/>
          <w:u w:val="none"/>
        </w:rPr>
        <w:t>，建设国家级优势特色产业集群1个、现代农业产业园1个，大力发展玉米生物制造、固态乳制品、精品牛羊肉、动物疫苗、益生菌、小品种氨基酸等高附加值产业。培育内蒙古牛羊肉、奶酪、马铃薯、果蔬、杂粮等区域品牌，集中打造有影响力的牛羊肉、雪花粉、葵</w:t>
      </w:r>
      <w:r>
        <w:rPr>
          <w:rFonts w:hint="eastAsia" w:ascii="仿宋" w:hAnsi="仿宋" w:eastAsia="仿宋" w:cs="仿宋"/>
          <w:color w:val="auto"/>
          <w:spacing w:val="-6"/>
          <w:sz w:val="32"/>
          <w:szCs w:val="32"/>
          <w:u w:val="none"/>
        </w:rPr>
        <w:t>花籽、粳稻、小米、鲜食玉米等绿色农畜产品品牌，新认证“蒙”字标企业30家以上。高标准推进内蒙古牛羊肉交易中心建设，</w:t>
      </w:r>
      <w:r>
        <w:rPr>
          <w:rFonts w:hint="eastAsia" w:ascii="仿宋" w:hAnsi="仿宋" w:eastAsia="仿宋" w:cs="仿宋"/>
          <w:color w:val="auto"/>
          <w:spacing w:val="0"/>
          <w:sz w:val="32"/>
          <w:szCs w:val="32"/>
          <w:u w:val="none"/>
        </w:rPr>
        <w:t>力争</w:t>
      </w:r>
      <w:r>
        <w:rPr>
          <w:rFonts w:hint="eastAsia" w:ascii="仿宋" w:hAnsi="仿宋" w:eastAsia="仿宋" w:cs="仿宋"/>
          <w:color w:val="auto"/>
          <w:spacing w:val="-6"/>
          <w:sz w:val="32"/>
          <w:szCs w:val="32"/>
          <w:u w:val="none"/>
        </w:rPr>
        <w:t>交易额达到100亿元。探索建立跨省产业合作和收益分享机制，</w:t>
      </w:r>
      <w:r>
        <w:rPr>
          <w:rFonts w:hint="eastAsia" w:ascii="仿宋" w:hAnsi="仿宋" w:eastAsia="仿宋" w:cs="仿宋"/>
          <w:color w:val="auto"/>
          <w:spacing w:val="0"/>
          <w:sz w:val="32"/>
          <w:szCs w:val="32"/>
          <w:u w:val="none"/>
        </w:rPr>
        <w:t>加强与北上广深等地大型农工商龙头企业和区域农贸市场合作，在主要消费地区设立牛羊肉前置屠宰加工中心，推进产运销精准对接，完善冷链物流网络体系，建成7个标准化营销中心。</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pacing w:val="0"/>
          <w:sz w:val="32"/>
          <w:szCs w:val="32"/>
          <w:u w:val="none"/>
          <w:lang w:eastAsia="zh-CN"/>
        </w:rPr>
      </w:pPr>
      <w:r>
        <w:rPr>
          <w:rFonts w:hint="eastAsia" w:ascii="黑体" w:hAnsi="黑体" w:eastAsia="黑体" w:cs="黑体"/>
          <w:color w:val="auto"/>
          <w:spacing w:val="0"/>
          <w:sz w:val="32"/>
          <w:szCs w:val="32"/>
          <w:u w:val="none"/>
          <w:lang w:eastAsia="zh-CN"/>
        </w:rPr>
        <w:t>六、以创建中国（内蒙古）自由贸易试验区为牵引，打造我国向北开放重要桥头堡</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仿宋" w:hAnsi="仿宋" w:eastAsia="仿宋" w:cs="仿宋"/>
          <w:color w:val="auto"/>
          <w:spacing w:val="0"/>
          <w:sz w:val="32"/>
          <w:szCs w:val="32"/>
          <w:u w:val="none"/>
        </w:rPr>
        <w:t>坚持对内对外开放并重，持续提升全方位开放水平。</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（一）加强通道平台建设。</w:t>
      </w:r>
      <w:r>
        <w:rPr>
          <w:rFonts w:hint="eastAsia" w:ascii="仿宋" w:hAnsi="仿宋" w:eastAsia="仿宋" w:cs="仿宋"/>
          <w:color w:val="auto"/>
          <w:spacing w:val="0"/>
          <w:sz w:val="32"/>
          <w:szCs w:val="32"/>
          <w:u w:val="none"/>
        </w:rPr>
        <w:t>全力推进自贸试验区申建。加强</w:t>
      </w:r>
      <w:r>
        <w:rPr>
          <w:rFonts w:hint="eastAsia" w:ascii="仿宋" w:hAnsi="仿宋" w:eastAsia="仿宋" w:cs="仿宋"/>
          <w:color w:val="auto"/>
          <w:spacing w:val="6"/>
          <w:sz w:val="32"/>
          <w:szCs w:val="32"/>
          <w:u w:val="none"/>
        </w:rPr>
        <w:t>口岸基础设施建设，实施满洲里、二连浩特、甘其毛都、策克、</w:t>
      </w:r>
      <w:r>
        <w:rPr>
          <w:rFonts w:hint="eastAsia" w:ascii="仿宋" w:hAnsi="仿宋" w:eastAsia="仿宋" w:cs="仿宋"/>
          <w:color w:val="auto"/>
          <w:spacing w:val="0"/>
          <w:sz w:val="32"/>
          <w:szCs w:val="32"/>
          <w:u w:val="none"/>
        </w:rPr>
        <w:t>满都拉等重点口岸提升工程，推进甘其毛都跨境铁路、二连浩特公路口岸货运第二通道等重点交通基础设施建设。加快建设中蒙二连浩特</w:t>
      </w:r>
      <w:r>
        <w:rPr>
          <w:rFonts w:hint="eastAsia" w:ascii="仿宋" w:hAnsi="仿宋" w:eastAsia="仿宋" w:cs="仿宋"/>
          <w:color w:val="auto"/>
          <w:spacing w:val="0"/>
          <w:sz w:val="32"/>
          <w:szCs w:val="32"/>
          <w:u w:val="none"/>
          <w:lang w:eastAsia="zh-CN"/>
        </w:rPr>
        <w:t>—</w:t>
      </w:r>
      <w:r>
        <w:rPr>
          <w:rFonts w:hint="eastAsia" w:ascii="仿宋" w:hAnsi="仿宋" w:eastAsia="仿宋" w:cs="仿宋"/>
          <w:color w:val="auto"/>
          <w:spacing w:val="0"/>
          <w:sz w:val="32"/>
          <w:szCs w:val="32"/>
          <w:u w:val="none"/>
        </w:rPr>
        <w:t>扎门乌德经济合作区、满洲里产业协作园区。拓展综合保税区功能，推动呼和浩特、鄂尔多斯、满洲里综合保税区高质量发展。推动呼和浩特、乌兰察布中欧班列节点城市和满洲里基地建设，提高货源集散能力和回程满载率，力争口岸货运量达到1.4亿吨。</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（二）</w:t>
      </w:r>
      <w:r>
        <w:rPr>
          <w:rFonts w:hint="eastAsia" w:ascii="楷体" w:hAnsi="楷体" w:eastAsia="楷体" w:cs="楷体"/>
          <w:color w:val="auto"/>
          <w:spacing w:val="-6"/>
          <w:sz w:val="32"/>
          <w:szCs w:val="32"/>
          <w:u w:val="none"/>
          <w:lang w:eastAsia="zh-CN"/>
        </w:rPr>
        <w:t>大力发展开放型经济。</w:t>
      </w:r>
      <w:r>
        <w:rPr>
          <w:rFonts w:hint="eastAsia" w:ascii="仿宋" w:hAnsi="仿宋" w:eastAsia="仿宋" w:cs="仿宋"/>
          <w:color w:val="auto"/>
          <w:spacing w:val="-6"/>
          <w:sz w:val="32"/>
          <w:szCs w:val="32"/>
          <w:u w:val="none"/>
        </w:rPr>
        <w:t>更深层次参与共建“一带一路”，</w:t>
      </w:r>
      <w:r>
        <w:rPr>
          <w:rFonts w:hint="eastAsia" w:ascii="仿宋" w:hAnsi="仿宋" w:eastAsia="仿宋" w:cs="仿宋"/>
          <w:color w:val="auto"/>
          <w:spacing w:val="0"/>
          <w:sz w:val="32"/>
          <w:szCs w:val="32"/>
          <w:u w:val="none"/>
        </w:rPr>
        <w:t>贯彻落实</w:t>
      </w:r>
      <w:r>
        <w:rPr>
          <w:rFonts w:hint="eastAsia" w:ascii="仿宋" w:hAnsi="仿宋" w:eastAsia="仿宋" w:cs="仿宋"/>
          <w:color w:val="auto"/>
          <w:spacing w:val="0"/>
          <w:sz w:val="32"/>
          <w:szCs w:val="32"/>
          <w:u w:val="none"/>
          <w:lang w:eastAsia="zh-CN"/>
        </w:rPr>
        <w:t>党中央、国务院关于</w:t>
      </w:r>
      <w:r>
        <w:rPr>
          <w:rFonts w:hint="eastAsia" w:ascii="仿宋" w:hAnsi="仿宋" w:eastAsia="仿宋" w:cs="仿宋"/>
          <w:color w:val="auto"/>
          <w:spacing w:val="0"/>
          <w:sz w:val="32"/>
          <w:szCs w:val="32"/>
          <w:u w:val="none"/>
        </w:rPr>
        <w:t>推动共建“一带一路”高质量发展的</w:t>
      </w:r>
      <w:r>
        <w:rPr>
          <w:rFonts w:hint="eastAsia" w:ascii="仿宋" w:hAnsi="仿宋" w:eastAsia="仿宋" w:cs="仿宋"/>
          <w:color w:val="auto"/>
          <w:spacing w:val="0"/>
          <w:sz w:val="32"/>
          <w:szCs w:val="32"/>
          <w:u w:val="none"/>
          <w:lang w:eastAsia="zh-CN"/>
        </w:rPr>
        <w:t>决策部署</w:t>
      </w:r>
      <w:r>
        <w:rPr>
          <w:rFonts w:hint="eastAsia" w:ascii="仿宋" w:hAnsi="仿宋" w:eastAsia="仿宋" w:cs="仿宋"/>
          <w:color w:val="auto"/>
          <w:spacing w:val="0"/>
          <w:sz w:val="32"/>
          <w:szCs w:val="32"/>
          <w:u w:val="none"/>
        </w:rPr>
        <w:t>，深度参与中蒙俄经济走廊建设，积极融入西部陆海新通道建设，力争外贸进出口总值增长5%左右。稳定大宗商品贸易量，扩大新能源汽车、特色农畜产品等重点商品出口，新增主</w:t>
      </w:r>
      <w:r>
        <w:rPr>
          <w:rFonts w:hint="eastAsia" w:ascii="仿宋" w:hAnsi="仿宋" w:eastAsia="仿宋" w:cs="仿宋"/>
          <w:color w:val="auto"/>
          <w:spacing w:val="6"/>
          <w:sz w:val="32"/>
          <w:szCs w:val="32"/>
          <w:u w:val="none"/>
        </w:rPr>
        <w:t>要进口产品落地加工量300万吨以上。推动二连浩特互贸区做大出口业务，建成运营满都拉、甘其毛都口岸互贸区，扩大互市贸易落地加工规模。高质量办好第四届国家向北开放经贸商洽会。</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（三）提升互利合作水平。</w:t>
      </w:r>
      <w:r>
        <w:rPr>
          <w:rFonts w:hint="eastAsia" w:ascii="仿宋" w:hAnsi="仿宋" w:eastAsia="仿宋" w:cs="仿宋"/>
          <w:color w:val="auto"/>
          <w:spacing w:val="0"/>
          <w:sz w:val="32"/>
          <w:szCs w:val="32"/>
          <w:u w:val="none"/>
        </w:rPr>
        <w:t>实施新版鼓励外商投资</w:t>
      </w:r>
      <w:r>
        <w:rPr>
          <w:rFonts w:hint="eastAsia" w:ascii="仿宋" w:hAnsi="仿宋" w:eastAsia="仿宋" w:cs="仿宋"/>
          <w:color w:val="auto"/>
          <w:spacing w:val="-6"/>
          <w:sz w:val="32"/>
          <w:szCs w:val="32"/>
          <w:u w:val="none"/>
        </w:rPr>
        <w:t>产业目录，</w:t>
      </w:r>
      <w:r>
        <w:rPr>
          <w:rFonts w:hint="eastAsia" w:ascii="仿宋" w:hAnsi="仿宋" w:eastAsia="仿宋" w:cs="仿宋"/>
          <w:color w:val="auto"/>
          <w:spacing w:val="6"/>
          <w:sz w:val="32"/>
          <w:szCs w:val="32"/>
          <w:u w:val="none"/>
        </w:rPr>
        <w:t>健全外商投资服务保障机制。完善海外综合服务体系。开拓中亚、中东、东南亚和港澳等市场，拓展数字经济、旅游、农牧业、健康、教育等领域合作新空间。持续深化对内开放，加强与京津冀、长三角、粤港澳大湾区、东三省、成渝等区域交流合作，持续推进京蒙协作，推动粤蒙、沪蒙合作升级，在新型储能、绿氢绿氨、绿色算力、防沙治沙、现代农牧业等方面形成一批新成果。提升招商引资质效，积极承接产业转移，落实地方政府招商引资鼓励和禁止事项清单，争取招商引资到位资金增长8%。</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pacing w:val="0"/>
          <w:sz w:val="32"/>
          <w:szCs w:val="32"/>
          <w:u w:val="none"/>
          <w:lang w:eastAsia="zh-CN"/>
        </w:rPr>
      </w:pPr>
      <w:r>
        <w:rPr>
          <w:rFonts w:hint="eastAsia" w:ascii="黑体" w:hAnsi="黑体" w:eastAsia="黑体" w:cs="黑体"/>
          <w:color w:val="auto"/>
          <w:spacing w:val="0"/>
          <w:sz w:val="32"/>
          <w:szCs w:val="32"/>
          <w:u w:val="none"/>
          <w:lang w:eastAsia="zh-CN"/>
        </w:rPr>
        <w:t>七、立足壮大实体经济，建设体现内蒙古特色优势的现代化产业体系</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6"/>
          <w:sz w:val="32"/>
          <w:szCs w:val="32"/>
          <w:u w:val="none"/>
        </w:rPr>
      </w:pPr>
      <w:r>
        <w:rPr>
          <w:rFonts w:hint="eastAsia" w:ascii="仿宋" w:hAnsi="仿宋" w:eastAsia="仿宋" w:cs="仿宋"/>
          <w:color w:val="auto"/>
          <w:spacing w:val="6"/>
          <w:sz w:val="32"/>
          <w:szCs w:val="32"/>
          <w:u w:val="none"/>
        </w:rPr>
        <w:t>着力构建以科技创新为引领、能源和战略资源为支撑、先进制造业为骨干、现代服务业为依托的具有特色的现代化产业体系。</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（一）加快推动传统产业改造升级。</w:t>
      </w:r>
      <w:r>
        <w:rPr>
          <w:rFonts w:hint="eastAsia" w:ascii="仿宋" w:hAnsi="仿宋" w:eastAsia="仿宋" w:cs="仿宋"/>
          <w:color w:val="auto"/>
          <w:spacing w:val="0"/>
          <w:sz w:val="32"/>
          <w:szCs w:val="32"/>
          <w:u w:val="none"/>
        </w:rPr>
        <w:t>实施工业设备更新和技术改造提质增效工程，加快化工、冶金、建材等产业数智化绿色化转型，培育50家先进级智能工厂</w:t>
      </w:r>
      <w:r>
        <w:rPr>
          <w:rFonts w:hint="eastAsia" w:ascii="仿宋" w:hAnsi="仿宋" w:eastAsia="仿宋" w:cs="仿宋"/>
          <w:color w:val="auto"/>
          <w:spacing w:val="0"/>
          <w:sz w:val="32"/>
          <w:szCs w:val="32"/>
          <w:u w:val="none"/>
          <w:lang w:eastAsia="zh-CN"/>
        </w:rPr>
        <w:t>、</w:t>
      </w:r>
      <w:r>
        <w:rPr>
          <w:rFonts w:hint="eastAsia" w:ascii="仿宋" w:hAnsi="仿宋" w:eastAsia="仿宋" w:cs="仿宋"/>
          <w:color w:val="auto"/>
          <w:spacing w:val="0"/>
          <w:sz w:val="32"/>
          <w:szCs w:val="32"/>
          <w:u w:val="none"/>
        </w:rPr>
        <w:t>新建90家绿色工厂。打造乳业、稀土、有色、现代煤化工、光伏等千亿级产业链，推动甲醇、乙二醇、烯烃等高值利用，发展高端聚烯烃、高性能纤维等高附加值产品，建设焦化全产业链一体化基地，提高铝、铜、铅、</w:t>
      </w:r>
      <w:r>
        <w:rPr>
          <w:rFonts w:hint="eastAsia" w:ascii="仿宋" w:hAnsi="仿宋" w:eastAsia="仿宋" w:cs="仿宋"/>
          <w:color w:val="auto"/>
          <w:spacing w:val="6"/>
          <w:sz w:val="32"/>
          <w:szCs w:val="32"/>
          <w:u w:val="none"/>
        </w:rPr>
        <w:t>锌、镁、锂等有色金属精深加工水平，做大高纯铝、铜基合金、先进电池材料等高端产品规模。全面实施“人工智能+”行动，推进人工智能技术在研发设计、生产制造、检验检测、营销服务、</w:t>
      </w:r>
      <w:r>
        <w:rPr>
          <w:rFonts w:hint="eastAsia" w:ascii="仿宋" w:hAnsi="仿宋" w:eastAsia="仿宋" w:cs="仿宋"/>
          <w:color w:val="auto"/>
          <w:spacing w:val="0"/>
          <w:sz w:val="32"/>
          <w:szCs w:val="32"/>
          <w:u w:val="none"/>
        </w:rPr>
        <w:t>供应链管理等环节创新应用。支持建筑业提升资质，拓展经营业务。</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（二）培育壮大新兴产业和未来产业。</w:t>
      </w:r>
      <w:r>
        <w:rPr>
          <w:rFonts w:hint="eastAsia" w:ascii="仿宋" w:hAnsi="仿宋" w:eastAsia="仿宋" w:cs="仿宋"/>
          <w:color w:val="auto"/>
          <w:spacing w:val="0"/>
          <w:sz w:val="32"/>
          <w:szCs w:val="32"/>
          <w:u w:val="none"/>
        </w:rPr>
        <w:t>建设全国重要的新能源装备制造基地，支持新能源矿卡、新能源电池材料等装备及零部件全产业链发展，引进落地企业总部和研发中心，培育发展新型储能、氢能先进制造业集群。发展绿色算力产业，统筹和林格</w:t>
      </w:r>
      <w:r>
        <w:rPr>
          <w:rFonts w:hint="eastAsia" w:ascii="仿宋" w:hAnsi="仿宋" w:eastAsia="仿宋" w:cs="仿宋"/>
          <w:color w:val="auto"/>
          <w:spacing w:val="6"/>
          <w:sz w:val="32"/>
          <w:szCs w:val="32"/>
          <w:u w:val="none"/>
        </w:rPr>
        <w:t>尔、乌兰察布算力建设，拓展算力应用场景，发展算力服务业、</w:t>
      </w:r>
      <w:r>
        <w:rPr>
          <w:rFonts w:hint="eastAsia" w:ascii="仿宋" w:hAnsi="仿宋" w:eastAsia="仿宋" w:cs="仿宋"/>
          <w:color w:val="auto"/>
          <w:spacing w:val="0"/>
          <w:sz w:val="32"/>
          <w:szCs w:val="32"/>
          <w:u w:val="none"/>
        </w:rPr>
        <w:t>数据加工业和算力装备制造业，升级数据交易中心和算力调度中心，支持和林格尔数据中心集群建设全国领先的绿色算力和数据产业集聚区。建立低空飞行安全监管清单，制定各行业场景应用推广方案，加快完善低空基础设施和配套保障服务，开展通用机</w:t>
      </w:r>
      <w:r>
        <w:rPr>
          <w:rFonts w:hint="eastAsia" w:ascii="仿宋" w:hAnsi="仿宋" w:eastAsia="仿宋" w:cs="仿宋"/>
          <w:color w:val="auto"/>
          <w:spacing w:val="6"/>
          <w:sz w:val="32"/>
          <w:szCs w:val="32"/>
          <w:u w:val="none"/>
        </w:rPr>
        <w:t>场适配性改造，推动起降、通信、导航、气象等设施一体布局，</w:t>
      </w:r>
      <w:r>
        <w:rPr>
          <w:rFonts w:hint="eastAsia" w:ascii="仿宋" w:hAnsi="仿宋" w:eastAsia="仿宋" w:cs="仿宋"/>
          <w:color w:val="auto"/>
          <w:spacing w:val="0"/>
          <w:sz w:val="32"/>
          <w:szCs w:val="32"/>
          <w:u w:val="none"/>
        </w:rPr>
        <w:t>引进飞行器及关键材料制造企业，打造低空经济产业集群和应用集聚区。出台加快发展生物制造产业实施方案，培育发展新型蛋白、高效酶制剂等产业，建设全球领先的动物疫苗智能制造基地和国内重要的生物发酵与制药转型升级示范基地。培育商业航天产业，谋划布局航天器组装、试验测试、发射回收、航天燃料等产业项目。</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（三）实施服务业扩能提质行动。</w:t>
      </w:r>
      <w:r>
        <w:rPr>
          <w:rFonts w:hint="eastAsia" w:ascii="仿宋" w:hAnsi="仿宋" w:eastAsia="仿宋" w:cs="仿宋"/>
          <w:color w:val="auto"/>
          <w:spacing w:val="0"/>
          <w:sz w:val="32"/>
          <w:szCs w:val="32"/>
          <w:u w:val="none"/>
        </w:rPr>
        <w:t>推动先进制造业和现代服务业深度融合，大力发展研发设计、检验检测认证、新能源运维、信息传输、质量认证等生产性服务业，促进生活性服务业高品质、多样化、便利化发展，培育一批服务业龙头企业。因城施策着力稳定房地产市场，推动构建房地产发展新模式，建设适应人民群众高品质生活的好房子。促进金融业企稳回升，做好金融“五篇大文章”，建立金融支持重大项目、重点企业清单，完善多层次资本市场，发展私募、创投、风投等投资，持续</w:t>
      </w:r>
      <w:r>
        <w:rPr>
          <w:rFonts w:hint="eastAsia" w:ascii="仿宋" w:hAnsi="仿宋" w:eastAsia="仿宋" w:cs="仿宋"/>
          <w:color w:val="auto"/>
          <w:spacing w:val="0"/>
          <w:sz w:val="32"/>
          <w:szCs w:val="32"/>
          <w:u w:val="none"/>
          <w:lang w:eastAsia="zh-CN"/>
        </w:rPr>
        <w:t>实施</w:t>
      </w:r>
      <w:r>
        <w:rPr>
          <w:rFonts w:hint="eastAsia" w:ascii="仿宋" w:hAnsi="仿宋" w:eastAsia="仿宋" w:cs="仿宋"/>
          <w:color w:val="auto"/>
          <w:spacing w:val="0"/>
          <w:sz w:val="32"/>
          <w:szCs w:val="32"/>
          <w:u w:val="none"/>
        </w:rPr>
        <w:t>企业上市“天</w:t>
      </w:r>
      <w:r>
        <w:rPr>
          <w:rFonts w:hint="eastAsia" w:ascii="仿宋" w:hAnsi="仿宋" w:eastAsia="仿宋" w:cs="仿宋"/>
          <w:color w:val="auto"/>
          <w:spacing w:val="6"/>
          <w:sz w:val="32"/>
          <w:szCs w:val="32"/>
          <w:u w:val="none"/>
        </w:rPr>
        <w:t>骏计划”。</w:t>
      </w:r>
      <w:r>
        <w:rPr>
          <w:rFonts w:hint="eastAsia" w:ascii="仿宋" w:hAnsi="仿宋" w:eastAsia="仿宋" w:cs="仿宋"/>
          <w:color w:val="auto"/>
          <w:spacing w:val="6"/>
          <w:sz w:val="32"/>
          <w:szCs w:val="32"/>
          <w:u w:val="none"/>
          <w:lang w:eastAsia="zh-CN"/>
        </w:rPr>
        <w:t>开展</w:t>
      </w:r>
      <w:r>
        <w:rPr>
          <w:rFonts w:hint="eastAsia" w:ascii="仿宋" w:hAnsi="仿宋" w:eastAsia="仿宋" w:cs="仿宋"/>
          <w:color w:val="auto"/>
          <w:spacing w:val="6"/>
          <w:sz w:val="32"/>
          <w:szCs w:val="32"/>
          <w:u w:val="none"/>
        </w:rPr>
        <w:t>全社会物流降本增效专项行动，推动物流枢纽、</w:t>
      </w:r>
      <w:r>
        <w:rPr>
          <w:rFonts w:hint="eastAsia" w:ascii="仿宋" w:hAnsi="仿宋" w:eastAsia="仿宋" w:cs="仿宋"/>
          <w:color w:val="auto"/>
          <w:spacing w:val="0"/>
          <w:sz w:val="32"/>
          <w:szCs w:val="32"/>
          <w:u w:val="none"/>
        </w:rPr>
        <w:t>冷链基地等物流基础设施功能提升、互联成网，推进多式联运“一单制”、“一箱制”应用，推动物流数字化、绿色化、标准化发展。推动7个国家物流枢纽、4个国家骨干物流基地提质升级，加快盛乐机场空港国际物流园建设。实施农村牧区“客货邮”融合发展行动，打造一批典型案例和示范旗县。</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（四）推动园区发展提质增效。</w:t>
      </w:r>
      <w:r>
        <w:rPr>
          <w:rFonts w:hint="eastAsia" w:ascii="仿宋" w:hAnsi="仿宋" w:eastAsia="仿宋" w:cs="仿宋"/>
          <w:color w:val="auto"/>
          <w:spacing w:val="0"/>
          <w:sz w:val="32"/>
          <w:szCs w:val="32"/>
          <w:u w:val="none"/>
          <w:lang w:eastAsia="zh-CN"/>
        </w:rPr>
        <w:t>优化园区定位和布局，出台</w:t>
      </w:r>
      <w:r>
        <w:rPr>
          <w:rFonts w:hint="eastAsia" w:ascii="仿宋" w:hAnsi="仿宋" w:eastAsia="仿宋" w:cs="仿宋"/>
          <w:color w:val="auto"/>
          <w:spacing w:val="0"/>
          <w:sz w:val="32"/>
          <w:szCs w:val="32"/>
          <w:u w:val="none"/>
        </w:rPr>
        <w:t>指导园区高质量发展的意见</w:t>
      </w:r>
      <w:r>
        <w:rPr>
          <w:rFonts w:hint="eastAsia" w:ascii="仿宋" w:hAnsi="仿宋" w:eastAsia="仿宋" w:cs="仿宋"/>
          <w:color w:val="auto"/>
          <w:spacing w:val="0"/>
          <w:sz w:val="32"/>
          <w:szCs w:val="32"/>
          <w:u w:val="none"/>
          <w:lang w:eastAsia="zh-CN"/>
        </w:rPr>
        <w:t>，推动制定</w:t>
      </w:r>
      <w:r>
        <w:rPr>
          <w:rFonts w:hint="eastAsia" w:ascii="仿宋" w:hAnsi="仿宋" w:eastAsia="仿宋" w:cs="仿宋"/>
          <w:color w:val="auto"/>
          <w:spacing w:val="0"/>
          <w:sz w:val="32"/>
          <w:szCs w:val="32"/>
          <w:u w:val="none"/>
        </w:rPr>
        <w:t>开发区建设管理条例，</w:t>
      </w:r>
      <w:r>
        <w:rPr>
          <w:rFonts w:hint="eastAsia" w:ascii="仿宋" w:hAnsi="仿宋" w:eastAsia="仿宋" w:cs="仿宋"/>
          <w:color w:val="auto"/>
          <w:spacing w:val="0"/>
          <w:sz w:val="32"/>
          <w:szCs w:val="32"/>
          <w:u w:val="none"/>
          <w:lang w:eastAsia="zh-CN"/>
        </w:rPr>
        <w:t>落</w:t>
      </w:r>
      <w:r>
        <w:rPr>
          <w:rFonts w:hint="eastAsia" w:ascii="仿宋" w:hAnsi="仿宋" w:eastAsia="仿宋" w:cs="仿宋"/>
          <w:color w:val="auto"/>
          <w:spacing w:val="6"/>
          <w:sz w:val="32"/>
          <w:szCs w:val="32"/>
          <w:u w:val="none"/>
          <w:lang w:eastAsia="zh-CN"/>
        </w:rPr>
        <w:t>实</w:t>
      </w:r>
      <w:r>
        <w:rPr>
          <w:rFonts w:hint="eastAsia" w:ascii="仿宋" w:hAnsi="仿宋" w:eastAsia="仿宋" w:cs="仿宋"/>
          <w:color w:val="auto"/>
          <w:spacing w:val="6"/>
          <w:sz w:val="32"/>
          <w:szCs w:val="32"/>
          <w:u w:val="none"/>
        </w:rPr>
        <w:t>自治区关于深化国家级经济技术开发区高质量发展工作</w:t>
      </w:r>
      <w:r>
        <w:rPr>
          <w:rFonts w:hint="eastAsia" w:ascii="仿宋" w:hAnsi="仿宋" w:eastAsia="仿宋" w:cs="仿宋"/>
          <w:color w:val="auto"/>
          <w:spacing w:val="6"/>
          <w:sz w:val="32"/>
          <w:szCs w:val="32"/>
          <w:u w:val="none"/>
          <w:lang w:eastAsia="zh-CN"/>
        </w:rPr>
        <w:t>部署</w:t>
      </w:r>
      <w:r>
        <w:rPr>
          <w:rFonts w:hint="eastAsia" w:ascii="仿宋" w:hAnsi="仿宋" w:eastAsia="仿宋" w:cs="仿宋"/>
          <w:color w:val="auto"/>
          <w:spacing w:val="6"/>
          <w:sz w:val="32"/>
          <w:szCs w:val="32"/>
          <w:u w:val="none"/>
        </w:rPr>
        <w:t>。</w:t>
      </w:r>
      <w:r>
        <w:rPr>
          <w:rFonts w:hint="eastAsia" w:ascii="仿宋" w:hAnsi="仿宋" w:eastAsia="仿宋" w:cs="仿宋"/>
          <w:color w:val="auto"/>
          <w:spacing w:val="0"/>
          <w:sz w:val="32"/>
          <w:szCs w:val="32"/>
          <w:u w:val="none"/>
        </w:rPr>
        <w:t>深化园区管理体制机制改革创新，</w:t>
      </w:r>
      <w:r>
        <w:rPr>
          <w:rFonts w:hint="eastAsia" w:ascii="仿宋" w:hAnsi="仿宋" w:eastAsia="仿宋" w:cs="仿宋"/>
          <w:color w:val="auto"/>
          <w:spacing w:val="0"/>
          <w:sz w:val="32"/>
          <w:szCs w:val="32"/>
          <w:u w:val="none"/>
          <w:lang w:eastAsia="zh-CN"/>
        </w:rPr>
        <w:t>建立监测评优体系，</w:t>
      </w:r>
      <w:r>
        <w:rPr>
          <w:rFonts w:hint="eastAsia" w:ascii="仿宋" w:hAnsi="仿宋" w:eastAsia="仿宋" w:cs="仿宋"/>
          <w:color w:val="auto"/>
          <w:spacing w:val="0"/>
          <w:sz w:val="32"/>
          <w:szCs w:val="32"/>
          <w:u w:val="none"/>
        </w:rPr>
        <w:t>构建更加高效、灵活、协同的运营体系。</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pacing w:val="0"/>
          <w:sz w:val="32"/>
          <w:szCs w:val="32"/>
          <w:u w:val="none"/>
          <w:lang w:eastAsia="zh-CN"/>
        </w:rPr>
      </w:pPr>
      <w:r>
        <w:rPr>
          <w:rFonts w:hint="eastAsia" w:ascii="黑体" w:hAnsi="黑体" w:eastAsia="黑体" w:cs="黑体"/>
          <w:color w:val="auto"/>
          <w:spacing w:val="0"/>
          <w:sz w:val="32"/>
          <w:szCs w:val="32"/>
          <w:u w:val="none"/>
          <w:lang w:eastAsia="zh-CN"/>
        </w:rPr>
        <w:t>八、大力推进创新驱动，因地制宜加快高水平科技自立自强</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仿宋" w:hAnsi="仿宋" w:eastAsia="仿宋" w:cs="仿宋"/>
          <w:color w:val="auto"/>
          <w:spacing w:val="0"/>
          <w:sz w:val="32"/>
          <w:szCs w:val="32"/>
          <w:u w:val="none"/>
        </w:rPr>
        <w:t>瞄准特色优势产业和发展亟需领域，强化应用驱动型科技创新、产业创新。</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（一）构建多层次创新平台体系。</w:t>
      </w:r>
      <w:r>
        <w:rPr>
          <w:rFonts w:hint="eastAsia" w:ascii="仿宋" w:hAnsi="仿宋" w:eastAsia="仿宋" w:cs="仿宋"/>
          <w:color w:val="auto"/>
          <w:spacing w:val="0"/>
          <w:sz w:val="32"/>
          <w:szCs w:val="32"/>
          <w:u w:val="none"/>
        </w:rPr>
        <w:t>完善稳定支持和动态评估机制，打造以国家级为引领、自治区级为骨干的多层次创新平台体系。提高国家乳业、草业技术创新中心等国家级平台研发效能，推动怀柔国家实验室内蒙古基地、呼包鄂国家自主创新示范区落地建设，支持大青山、鄂尔多斯实验室做优做强。依托高校、园区、企业打造一批概念验证、中试验证服务平台，加强“蒙科聚”平台建设，力争技术合同交易额增长25%。</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（二）</w:t>
      </w:r>
      <w:r>
        <w:rPr>
          <w:rFonts w:hint="eastAsia" w:ascii="楷体" w:hAnsi="楷体" w:eastAsia="楷体" w:cs="楷体"/>
          <w:color w:val="auto"/>
          <w:spacing w:val="6"/>
          <w:sz w:val="32"/>
          <w:szCs w:val="32"/>
          <w:u w:val="none"/>
          <w:lang w:eastAsia="zh-CN"/>
        </w:rPr>
        <w:t>强化企业科技创新主体地位。</w:t>
      </w:r>
      <w:r>
        <w:rPr>
          <w:rFonts w:hint="eastAsia" w:ascii="仿宋" w:hAnsi="仿宋" w:eastAsia="仿宋" w:cs="仿宋"/>
          <w:color w:val="auto"/>
          <w:spacing w:val="6"/>
          <w:sz w:val="32"/>
          <w:szCs w:val="32"/>
          <w:u w:val="none"/>
        </w:rPr>
        <w:t>优化科技型中小企业、</w:t>
      </w:r>
      <w:r>
        <w:rPr>
          <w:rFonts w:hint="eastAsia" w:ascii="仿宋" w:hAnsi="仿宋" w:eastAsia="仿宋" w:cs="仿宋"/>
          <w:color w:val="auto"/>
          <w:spacing w:val="0"/>
          <w:sz w:val="32"/>
          <w:szCs w:val="32"/>
          <w:u w:val="none"/>
        </w:rPr>
        <w:t>高新技术企业培育路径，壮大科技标杆企业队伍。加强高校、科研院所与企业科技资源共享，支持企业承担重大科研任务、参与重大平台建设、转化应用重大科技成果，鼓励企业创建自治区级以上研发平台或牵头组建创新联合体，围绕技术突破、场景验证、产业应用开展有组织科研。引导金融机构加大对科技型企业支持力度。</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（三）</w:t>
      </w:r>
      <w:r>
        <w:rPr>
          <w:rFonts w:hint="eastAsia" w:ascii="楷体" w:hAnsi="楷体" w:eastAsia="楷体" w:cs="楷体"/>
          <w:color w:val="auto"/>
          <w:spacing w:val="0"/>
          <w:sz w:val="32"/>
          <w:szCs w:val="32"/>
          <w:u w:val="none"/>
        </w:rPr>
        <w:t>推进科技创新和产业创新融合发展。</w:t>
      </w:r>
      <w:r>
        <w:rPr>
          <w:rFonts w:hint="eastAsia" w:ascii="仿宋" w:hAnsi="仿宋" w:eastAsia="仿宋" w:cs="仿宋"/>
          <w:color w:val="auto"/>
          <w:spacing w:val="0"/>
          <w:sz w:val="32"/>
          <w:szCs w:val="32"/>
          <w:u w:val="none"/>
        </w:rPr>
        <w:t>聚焦新能源、新材料、现代煤化工、绿色氢氨醇、稀土、生物育种、草业、乳业等优势特色领域开展重点攻坚，在算电协同、风光氢储、“人工</w:t>
      </w:r>
      <w:r>
        <w:rPr>
          <w:rFonts w:hint="eastAsia" w:ascii="仿宋" w:hAnsi="仿宋" w:eastAsia="仿宋" w:cs="仿宋"/>
          <w:color w:val="auto"/>
          <w:spacing w:val="6"/>
          <w:sz w:val="32"/>
          <w:szCs w:val="32"/>
          <w:u w:val="none"/>
        </w:rPr>
        <w:t>智能+”等新兴领域布局一批先导性项目，推动产业向智能化、</w:t>
      </w:r>
      <w:r>
        <w:rPr>
          <w:rFonts w:hint="eastAsia" w:ascii="仿宋" w:hAnsi="仿宋" w:eastAsia="仿宋" w:cs="仿宋"/>
          <w:color w:val="auto"/>
          <w:spacing w:val="0"/>
          <w:sz w:val="32"/>
          <w:szCs w:val="32"/>
          <w:u w:val="none"/>
        </w:rPr>
        <w:t>绿色化、融合化转型。</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（四）统筹推进教育科技人</w:t>
      </w:r>
      <w:r>
        <w:rPr>
          <w:rFonts w:hint="eastAsia" w:ascii="楷体" w:hAnsi="楷体" w:eastAsia="楷体" w:cs="楷体"/>
          <w:color w:val="auto"/>
          <w:spacing w:val="-6"/>
          <w:sz w:val="32"/>
          <w:szCs w:val="32"/>
          <w:u w:val="none"/>
          <w:lang w:eastAsia="zh-CN"/>
        </w:rPr>
        <w:t>才一体发展。</w:t>
      </w:r>
      <w:r>
        <w:rPr>
          <w:rFonts w:hint="eastAsia" w:ascii="仿宋" w:hAnsi="仿宋" w:eastAsia="仿宋" w:cs="仿宋"/>
          <w:color w:val="auto"/>
          <w:spacing w:val="-6"/>
          <w:sz w:val="32"/>
          <w:szCs w:val="32"/>
          <w:u w:val="none"/>
        </w:rPr>
        <w:t>加快内蒙古大学“双</w:t>
      </w:r>
      <w:r>
        <w:rPr>
          <w:rFonts w:hint="eastAsia" w:ascii="仿宋" w:hAnsi="仿宋" w:eastAsia="仿宋" w:cs="仿宋"/>
          <w:color w:val="auto"/>
          <w:spacing w:val="6"/>
          <w:sz w:val="32"/>
          <w:szCs w:val="32"/>
          <w:u w:val="none"/>
        </w:rPr>
        <w:t>一流”建设和部区合建。支持生态学、草学等申报国家一流学</w:t>
      </w:r>
      <w:r>
        <w:rPr>
          <w:rFonts w:hint="eastAsia" w:ascii="仿宋" w:hAnsi="仿宋" w:eastAsia="仿宋" w:cs="仿宋"/>
          <w:color w:val="auto"/>
          <w:spacing w:val="11"/>
          <w:sz w:val="32"/>
          <w:szCs w:val="32"/>
          <w:u w:val="none"/>
        </w:rPr>
        <w:t>科。</w:t>
      </w:r>
      <w:r>
        <w:rPr>
          <w:rFonts w:hint="eastAsia" w:ascii="仿宋" w:hAnsi="仿宋" w:eastAsia="仿宋" w:cs="仿宋"/>
          <w:color w:val="auto"/>
          <w:spacing w:val="11"/>
          <w:sz w:val="32"/>
          <w:szCs w:val="32"/>
          <w:u w:val="none"/>
          <w:lang w:val="en-US" w:eastAsia="zh-CN"/>
        </w:rPr>
        <w:t>聚焦重点产业深化产教融合，推进高水平职业教育建设。</w:t>
      </w:r>
      <w:r>
        <w:rPr>
          <w:rFonts w:hint="eastAsia" w:ascii="仿宋" w:hAnsi="仿宋" w:eastAsia="仿宋" w:cs="仿宋"/>
          <w:color w:val="auto"/>
          <w:spacing w:val="6"/>
          <w:sz w:val="32"/>
          <w:szCs w:val="32"/>
          <w:u w:val="none"/>
        </w:rPr>
        <w:t>推动教育部内蒙古高等研究院实体化运行。完善经费管理机制，赋予科研单位和科技人员更大自主权。加强知识产权创造、保护、运用，实施高价值专利培育行动，组建特色优势产业专利池。</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pacing w:val="0"/>
          <w:sz w:val="32"/>
          <w:szCs w:val="32"/>
          <w:u w:val="none"/>
          <w:lang w:eastAsia="zh-CN"/>
        </w:rPr>
      </w:pPr>
      <w:r>
        <w:rPr>
          <w:rFonts w:hint="eastAsia" w:ascii="黑体" w:hAnsi="黑体" w:eastAsia="黑体" w:cs="黑体"/>
          <w:color w:val="auto"/>
          <w:spacing w:val="0"/>
          <w:sz w:val="32"/>
          <w:szCs w:val="32"/>
          <w:u w:val="none"/>
          <w:lang w:eastAsia="zh-CN"/>
        </w:rPr>
        <w:t>九、更加注重内需主导，服务融入全国统一大市场</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仿宋" w:hAnsi="仿宋" w:eastAsia="仿宋" w:cs="仿宋"/>
          <w:color w:val="auto"/>
          <w:spacing w:val="0"/>
          <w:sz w:val="32"/>
          <w:szCs w:val="32"/>
          <w:u w:val="none"/>
        </w:rPr>
        <w:t>用足用好国家新一轮“两重</w:t>
      </w:r>
      <w:r>
        <w:rPr>
          <w:rFonts w:hint="eastAsia" w:ascii="仿宋" w:hAnsi="仿宋" w:eastAsia="仿宋" w:cs="仿宋"/>
          <w:color w:val="auto"/>
          <w:spacing w:val="0"/>
          <w:sz w:val="32"/>
          <w:szCs w:val="32"/>
          <w:u w:val="none"/>
          <w:lang w:eastAsia="zh-CN"/>
        </w:rPr>
        <w:t>”、“</w:t>
      </w:r>
      <w:r>
        <w:rPr>
          <w:rFonts w:hint="eastAsia" w:ascii="仿宋" w:hAnsi="仿宋" w:eastAsia="仿宋" w:cs="仿宋"/>
          <w:color w:val="auto"/>
          <w:spacing w:val="0"/>
          <w:sz w:val="32"/>
          <w:szCs w:val="32"/>
          <w:u w:val="none"/>
        </w:rPr>
        <w:t>两新”政策，坚持惠民生和</w:t>
      </w:r>
      <w:r>
        <w:rPr>
          <w:rFonts w:hint="eastAsia" w:ascii="仿宋" w:hAnsi="仿宋" w:eastAsia="仿宋" w:cs="仿宋"/>
          <w:color w:val="auto"/>
          <w:spacing w:val="6"/>
          <w:sz w:val="32"/>
          <w:szCs w:val="32"/>
          <w:u w:val="none"/>
        </w:rPr>
        <w:t>促消费、投资于物和投资于人紧密结合，增强经济发展的内生动力。</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（一）推动消费扩量提质。</w:t>
      </w:r>
      <w:r>
        <w:rPr>
          <w:rFonts w:hint="eastAsia" w:ascii="仿宋" w:hAnsi="仿宋" w:eastAsia="仿宋" w:cs="仿宋"/>
          <w:color w:val="auto"/>
          <w:spacing w:val="0"/>
          <w:sz w:val="32"/>
          <w:szCs w:val="32"/>
          <w:u w:val="none"/>
        </w:rPr>
        <w:t>深入实施提振消费专项行动，优化实施“两新”政策，加大直达消费者的普惠政策</w:t>
      </w:r>
      <w:r>
        <w:rPr>
          <w:rFonts w:hint="eastAsia" w:ascii="仿宋" w:hAnsi="仿宋" w:eastAsia="仿宋" w:cs="仿宋"/>
          <w:color w:val="auto"/>
          <w:spacing w:val="0"/>
          <w:sz w:val="32"/>
          <w:szCs w:val="32"/>
          <w:u w:val="none"/>
          <w:lang w:eastAsia="zh-CN"/>
        </w:rPr>
        <w:t>实施</w:t>
      </w:r>
      <w:r>
        <w:rPr>
          <w:rFonts w:hint="eastAsia" w:ascii="仿宋" w:hAnsi="仿宋" w:eastAsia="仿宋" w:cs="仿宋"/>
          <w:color w:val="auto"/>
          <w:spacing w:val="0"/>
          <w:sz w:val="32"/>
          <w:szCs w:val="32"/>
          <w:u w:val="none"/>
        </w:rPr>
        <w:t>力度，落实职工带薪错峰休假制度，清理消费领域不合理限制性措施，完</w:t>
      </w:r>
      <w:r>
        <w:rPr>
          <w:rFonts w:hint="eastAsia" w:ascii="仿宋" w:hAnsi="仿宋" w:eastAsia="仿宋" w:cs="仿宋"/>
          <w:color w:val="auto"/>
          <w:spacing w:val="6"/>
          <w:sz w:val="32"/>
          <w:szCs w:val="32"/>
          <w:u w:val="none"/>
        </w:rPr>
        <w:t>善现代商贸流通体系。适应消费结构变化，促进供给提质升级，</w:t>
      </w:r>
      <w:r>
        <w:rPr>
          <w:rFonts w:hint="eastAsia" w:ascii="仿宋" w:hAnsi="仿宋" w:eastAsia="仿宋" w:cs="仿宋"/>
          <w:color w:val="auto"/>
          <w:spacing w:val="0"/>
          <w:sz w:val="32"/>
          <w:szCs w:val="32"/>
          <w:u w:val="none"/>
        </w:rPr>
        <w:t>推动场景化改造、品质化供给、数字化赋能、多元化创新。积极扩大优质商品和服务供给，持续开展餐饮促消费、跟着赛事去旅</w:t>
      </w:r>
      <w:r>
        <w:rPr>
          <w:rFonts w:hint="eastAsia" w:ascii="仿宋" w:hAnsi="仿宋" w:eastAsia="仿宋" w:cs="仿宋"/>
          <w:color w:val="auto"/>
          <w:spacing w:val="6"/>
          <w:sz w:val="32"/>
          <w:szCs w:val="32"/>
          <w:u w:val="none"/>
        </w:rPr>
        <w:t>行等活动，促进健康、养老、托育、家政等服务消费扩容提质，</w:t>
      </w:r>
      <w:r>
        <w:rPr>
          <w:rFonts w:hint="eastAsia" w:ascii="仿宋" w:hAnsi="仿宋" w:eastAsia="仿宋" w:cs="仿宋"/>
          <w:color w:val="auto"/>
          <w:spacing w:val="0"/>
          <w:sz w:val="32"/>
          <w:szCs w:val="32"/>
          <w:u w:val="none"/>
        </w:rPr>
        <w:t>培育壮大智能家居、假日经济、夜间消费、演出经济、体育赛事等新增长点。支持生产企业实施产销分离，持续开展成品油和计量设施“打非治违”。积极发展网络电商，促进线上线下消费融合发展。</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（二）持续扩大有效投资。</w:t>
      </w:r>
      <w:r>
        <w:rPr>
          <w:rFonts w:hint="eastAsia" w:ascii="仿宋" w:hAnsi="仿宋" w:eastAsia="仿宋" w:cs="仿宋"/>
          <w:color w:val="auto"/>
          <w:spacing w:val="0"/>
          <w:sz w:val="32"/>
          <w:szCs w:val="32"/>
          <w:u w:val="none"/>
        </w:rPr>
        <w:t>全力推动重大项目建设，实施重大项目3600个左右，完成建设投资1万亿元以上。全面推行重大项目联审联批工作机制，建设贯通全区的重大项目联审联批智慧管理平台，实行审批事项清单化管理，上半年拟开工重大项目</w:t>
      </w:r>
      <w:r>
        <w:rPr>
          <w:rFonts w:hint="eastAsia" w:ascii="仿宋" w:hAnsi="仿宋" w:eastAsia="仿宋" w:cs="仿宋"/>
          <w:color w:val="auto"/>
          <w:spacing w:val="6"/>
          <w:sz w:val="32"/>
          <w:szCs w:val="32"/>
          <w:u w:val="none"/>
        </w:rPr>
        <w:t>在3月底前、下半年拟开工重大项目在8月底前办结前期手续。</w:t>
      </w:r>
      <w:r>
        <w:rPr>
          <w:rFonts w:hint="eastAsia" w:ascii="仿宋" w:hAnsi="仿宋" w:eastAsia="仿宋" w:cs="仿宋"/>
          <w:color w:val="auto"/>
          <w:spacing w:val="0"/>
          <w:sz w:val="32"/>
          <w:szCs w:val="32"/>
          <w:u w:val="none"/>
        </w:rPr>
        <w:t>全力做好项目要素保障，充分发挥各类政府投资资金作用，强化建设进度慢、资金支付滞后问题整治，落实</w:t>
      </w:r>
      <w:r>
        <w:rPr>
          <w:rFonts w:hint="eastAsia" w:ascii="仿宋" w:hAnsi="仿宋" w:eastAsia="仿宋" w:cs="仿宋"/>
          <w:color w:val="auto"/>
          <w:spacing w:val="0"/>
          <w:sz w:val="32"/>
          <w:szCs w:val="32"/>
          <w:u w:val="none"/>
          <w:lang w:eastAsia="zh-CN"/>
        </w:rPr>
        <w:t>《内蒙古</w:t>
      </w:r>
      <w:r>
        <w:rPr>
          <w:rFonts w:hint="eastAsia" w:ascii="仿宋" w:hAnsi="仿宋" w:eastAsia="仿宋" w:cs="仿宋"/>
          <w:color w:val="auto"/>
          <w:spacing w:val="0"/>
          <w:sz w:val="32"/>
          <w:szCs w:val="32"/>
          <w:u w:val="none"/>
        </w:rPr>
        <w:t>自治区本级</w:t>
      </w:r>
      <w:r>
        <w:rPr>
          <w:rFonts w:hint="eastAsia" w:ascii="仿宋" w:hAnsi="仿宋" w:eastAsia="仿宋" w:cs="仿宋"/>
          <w:color w:val="auto"/>
          <w:spacing w:val="6"/>
          <w:sz w:val="32"/>
          <w:szCs w:val="32"/>
          <w:u w:val="none"/>
        </w:rPr>
        <w:t>政府投资基金管理办法</w:t>
      </w:r>
      <w:r>
        <w:rPr>
          <w:rFonts w:hint="eastAsia" w:ascii="仿宋" w:hAnsi="仿宋" w:eastAsia="仿宋" w:cs="仿宋"/>
          <w:color w:val="auto"/>
          <w:spacing w:val="6"/>
          <w:sz w:val="32"/>
          <w:szCs w:val="32"/>
          <w:u w:val="none"/>
          <w:lang w:eastAsia="zh-CN"/>
        </w:rPr>
        <w:t>》</w:t>
      </w:r>
      <w:r>
        <w:rPr>
          <w:rFonts w:hint="eastAsia" w:ascii="仿宋" w:hAnsi="仿宋" w:eastAsia="仿宋" w:cs="仿宋"/>
          <w:color w:val="auto"/>
          <w:spacing w:val="6"/>
          <w:sz w:val="32"/>
          <w:szCs w:val="32"/>
          <w:u w:val="none"/>
        </w:rPr>
        <w:t>。聚焦“十五五”时期发展方向和要求，谋划储备更多发展所需、地方所能、群众所盼的高质量项目，按照“实施一批、前期一批、储备一批、谋划一批”分类推进实施。</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（三）激发民间投资活力。</w:t>
      </w:r>
      <w:r>
        <w:rPr>
          <w:rFonts w:hint="eastAsia" w:ascii="仿宋" w:hAnsi="仿宋" w:eastAsia="仿宋" w:cs="仿宋"/>
          <w:color w:val="auto"/>
          <w:spacing w:val="0"/>
          <w:sz w:val="32"/>
          <w:szCs w:val="32"/>
          <w:u w:val="none"/>
        </w:rPr>
        <w:t>贯彻实施</w:t>
      </w:r>
      <w:r>
        <w:rPr>
          <w:rFonts w:hint="eastAsia" w:ascii="仿宋" w:hAnsi="仿宋" w:eastAsia="仿宋" w:cs="仿宋"/>
          <w:color w:val="auto"/>
          <w:spacing w:val="0"/>
          <w:sz w:val="32"/>
          <w:szCs w:val="32"/>
          <w:u w:val="none"/>
          <w:lang w:eastAsia="zh-CN"/>
        </w:rPr>
        <w:t>《中华人民共和国</w:t>
      </w:r>
      <w:r>
        <w:rPr>
          <w:rFonts w:hint="eastAsia" w:ascii="仿宋" w:hAnsi="仿宋" w:eastAsia="仿宋" w:cs="仿宋"/>
          <w:color w:val="auto"/>
          <w:spacing w:val="0"/>
          <w:sz w:val="32"/>
          <w:szCs w:val="32"/>
          <w:u w:val="none"/>
        </w:rPr>
        <w:t>民营经济促进法</w:t>
      </w:r>
      <w:r>
        <w:rPr>
          <w:rFonts w:hint="eastAsia" w:ascii="仿宋" w:hAnsi="仿宋" w:eastAsia="仿宋" w:cs="仿宋"/>
          <w:color w:val="auto"/>
          <w:spacing w:val="0"/>
          <w:sz w:val="32"/>
          <w:szCs w:val="32"/>
          <w:u w:val="none"/>
          <w:lang w:eastAsia="zh-CN"/>
        </w:rPr>
        <w:t>》和《内蒙古</w:t>
      </w:r>
      <w:r>
        <w:rPr>
          <w:rFonts w:hint="eastAsia" w:ascii="仿宋" w:hAnsi="仿宋" w:eastAsia="仿宋" w:cs="仿宋"/>
          <w:color w:val="auto"/>
          <w:spacing w:val="0"/>
          <w:sz w:val="32"/>
          <w:szCs w:val="32"/>
          <w:u w:val="none"/>
        </w:rPr>
        <w:t>自治区民营经济发展促进条例</w:t>
      </w:r>
      <w:r>
        <w:rPr>
          <w:rFonts w:hint="eastAsia" w:ascii="仿宋" w:hAnsi="仿宋" w:eastAsia="仿宋" w:cs="仿宋"/>
          <w:color w:val="auto"/>
          <w:spacing w:val="0"/>
          <w:sz w:val="32"/>
          <w:szCs w:val="32"/>
          <w:u w:val="none"/>
          <w:lang w:eastAsia="zh-CN"/>
        </w:rPr>
        <w:t>》</w:t>
      </w:r>
      <w:r>
        <w:rPr>
          <w:rFonts w:hint="eastAsia" w:ascii="仿宋" w:hAnsi="仿宋" w:eastAsia="仿宋" w:cs="仿宋"/>
          <w:color w:val="auto"/>
          <w:spacing w:val="0"/>
          <w:sz w:val="32"/>
          <w:szCs w:val="32"/>
          <w:u w:val="none"/>
        </w:rPr>
        <w:t>，建立健全促进民营经济发展工作协调机制。持续破除市场准入隐性壁垒，严禁在招投标中对民营企业设置歧视性条件，完善民营企业参与重大项目建设长效机制、政策沟通与直达机制，支持民营企业参与“两重”建设。系统谋划促进民间投资的政策措施，在市场准入、要素获取、公平竞争、权益保护等方面，打通制约民间投资的堵点、难点、痛点。</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（四）推进重大基础设施建设。</w:t>
      </w:r>
      <w:r>
        <w:rPr>
          <w:rFonts w:hint="eastAsia" w:ascii="仿宋" w:hAnsi="仿宋" w:eastAsia="仿宋" w:cs="仿宋"/>
          <w:color w:val="auto"/>
          <w:spacing w:val="0"/>
          <w:sz w:val="32"/>
          <w:szCs w:val="32"/>
          <w:u w:val="none"/>
        </w:rPr>
        <w:t>建成包银高铁银川至巴彦浩特支线、太子城至锡林浩特铁路，完成集通铁路动车改造，实现锡林郭勒盟、阿拉善盟开行动车。开工建设包鄂榆高铁，推进呼包高铁前期工作，加快建设临河至哈密铁路、乌兰浩特至阿尔山铁路、富裕至加格达奇铁路、滨</w:t>
      </w:r>
      <w:r>
        <w:rPr>
          <w:rFonts w:hint="eastAsia" w:ascii="仿宋" w:hAnsi="仿宋" w:eastAsia="仿宋" w:cs="仿宋"/>
          <w:color w:val="auto"/>
          <w:spacing w:val="0"/>
          <w:sz w:val="32"/>
          <w:szCs w:val="32"/>
          <w:u w:val="none"/>
          <w:lang w:val="en-US" w:eastAsia="zh-CN"/>
        </w:rPr>
        <w:t>洲</w:t>
      </w:r>
      <w:bookmarkStart w:id="2" w:name="_GoBack"/>
      <w:bookmarkEnd w:id="2"/>
      <w:r>
        <w:rPr>
          <w:rFonts w:hint="eastAsia" w:ascii="仿宋" w:hAnsi="仿宋" w:eastAsia="仿宋" w:cs="仿宋"/>
          <w:color w:val="auto"/>
          <w:spacing w:val="0"/>
          <w:sz w:val="32"/>
          <w:szCs w:val="32"/>
          <w:u w:val="none"/>
        </w:rPr>
        <w:t>铁路改造工程。新开工建设高速公路和国省干线1500公里</w:t>
      </w:r>
      <w:r>
        <w:rPr>
          <w:rFonts w:hint="eastAsia" w:ascii="仿宋" w:hAnsi="仿宋" w:eastAsia="仿宋" w:cs="仿宋"/>
          <w:color w:val="auto"/>
          <w:spacing w:val="0"/>
          <w:sz w:val="32"/>
          <w:szCs w:val="32"/>
          <w:u w:val="none"/>
          <w:lang w:eastAsia="zh-CN"/>
        </w:rPr>
        <w:t>，新改建农村公路</w:t>
      </w:r>
      <w:r>
        <w:rPr>
          <w:rFonts w:hint="eastAsia" w:ascii="仿宋" w:hAnsi="仿宋" w:eastAsia="仿宋" w:cs="仿宋"/>
          <w:color w:val="auto"/>
          <w:spacing w:val="0"/>
          <w:sz w:val="32"/>
          <w:szCs w:val="32"/>
          <w:u w:val="none"/>
          <w:lang w:val="en-US" w:eastAsia="zh-CN"/>
        </w:rPr>
        <w:t>5000公里</w:t>
      </w:r>
      <w:r>
        <w:rPr>
          <w:rFonts w:hint="eastAsia" w:ascii="仿宋" w:hAnsi="仿宋" w:eastAsia="仿宋" w:cs="仿宋"/>
          <w:color w:val="auto"/>
          <w:spacing w:val="0"/>
          <w:sz w:val="32"/>
          <w:szCs w:val="32"/>
          <w:u w:val="none"/>
        </w:rPr>
        <w:t>。做好盛乐国际机场转场投运工作。加快新型基础设施建设应用，深入推进全国一体化算力网络内蒙古枢纽节点建设，统筹布局算力基础设施，推进算网融合，加快窄带物联网等新型物联网基础设施建设。</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pacing w:val="0"/>
          <w:sz w:val="32"/>
          <w:szCs w:val="32"/>
          <w:u w:val="none"/>
          <w:lang w:eastAsia="zh-CN"/>
        </w:rPr>
      </w:pPr>
      <w:r>
        <w:rPr>
          <w:rFonts w:hint="eastAsia" w:ascii="黑体" w:hAnsi="黑体" w:eastAsia="黑体" w:cs="黑体"/>
          <w:color w:val="auto"/>
          <w:spacing w:val="0"/>
          <w:sz w:val="32"/>
          <w:szCs w:val="32"/>
          <w:u w:val="none"/>
          <w:lang w:eastAsia="zh-CN"/>
        </w:rPr>
        <w:t>十、持续深化改革攻坚，构建高水平社会主义市场经济体制</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仿宋" w:hAnsi="仿宋" w:eastAsia="仿宋" w:cs="仿宋"/>
          <w:color w:val="auto"/>
          <w:spacing w:val="0"/>
          <w:sz w:val="32"/>
          <w:szCs w:val="32"/>
          <w:u w:val="none"/>
        </w:rPr>
        <w:t>用改革的办法解决发展中的问题，推动形成既“放得活”又“管得好”的经济秩序，增强高质量发展动力活力。</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（一）持续优化营商环境。</w:t>
      </w:r>
      <w:r>
        <w:rPr>
          <w:rFonts w:hint="eastAsia" w:ascii="仿宋" w:hAnsi="仿宋" w:eastAsia="仿宋" w:cs="仿宋"/>
          <w:color w:val="auto"/>
          <w:spacing w:val="0"/>
          <w:sz w:val="32"/>
          <w:szCs w:val="32"/>
          <w:u w:val="none"/>
        </w:rPr>
        <w:t>深入推进服务和融入全国统一大市场建设，严格落实产权保护制度和</w:t>
      </w:r>
      <w:r>
        <w:rPr>
          <w:rFonts w:hint="eastAsia" w:ascii="仿宋" w:hAnsi="仿宋" w:eastAsia="仿宋" w:cs="仿宋"/>
          <w:color w:val="auto"/>
          <w:spacing w:val="0"/>
          <w:sz w:val="32"/>
          <w:szCs w:val="32"/>
          <w:u w:val="none"/>
          <w:lang w:eastAsia="zh-CN"/>
        </w:rPr>
        <w:t>《</w:t>
      </w:r>
      <w:r>
        <w:rPr>
          <w:rFonts w:hint="eastAsia" w:ascii="仿宋" w:hAnsi="仿宋" w:eastAsia="仿宋" w:cs="仿宋"/>
          <w:color w:val="auto"/>
          <w:spacing w:val="0"/>
          <w:sz w:val="32"/>
          <w:szCs w:val="32"/>
          <w:u w:val="none"/>
        </w:rPr>
        <w:t>公平审查条例</w:t>
      </w:r>
      <w:r>
        <w:rPr>
          <w:rFonts w:hint="eastAsia" w:ascii="仿宋" w:hAnsi="仿宋" w:eastAsia="仿宋" w:cs="仿宋"/>
          <w:color w:val="auto"/>
          <w:spacing w:val="0"/>
          <w:sz w:val="32"/>
          <w:szCs w:val="32"/>
          <w:u w:val="none"/>
          <w:lang w:eastAsia="zh-CN"/>
        </w:rPr>
        <w:t>》</w:t>
      </w:r>
      <w:r>
        <w:rPr>
          <w:rFonts w:hint="eastAsia" w:ascii="仿宋" w:hAnsi="仿宋" w:eastAsia="仿宋" w:cs="仿宋"/>
          <w:color w:val="auto"/>
          <w:spacing w:val="0"/>
          <w:sz w:val="32"/>
          <w:szCs w:val="32"/>
          <w:u w:val="none"/>
        </w:rPr>
        <w:t>。抓好“营商环境质量提升年”各项工作，建立以民营企业为主体的营商环境评价体系，落实自治区加快打造市场化法治化</w:t>
      </w:r>
      <w:r>
        <w:rPr>
          <w:rFonts w:hint="eastAsia" w:ascii="仿宋" w:hAnsi="仿宋" w:eastAsia="仿宋" w:cs="仿宋"/>
          <w:color w:val="auto"/>
          <w:spacing w:val="0"/>
          <w:sz w:val="32"/>
          <w:szCs w:val="32"/>
          <w:u w:val="none"/>
          <w:lang w:val="en-US" w:eastAsia="zh-CN"/>
        </w:rPr>
        <w:t>国际化</w:t>
      </w:r>
      <w:r>
        <w:rPr>
          <w:rFonts w:hint="eastAsia" w:ascii="仿宋" w:hAnsi="仿宋" w:eastAsia="仿宋" w:cs="仿宋"/>
          <w:color w:val="auto"/>
          <w:spacing w:val="0"/>
          <w:sz w:val="32"/>
          <w:szCs w:val="32"/>
          <w:u w:val="none"/>
        </w:rPr>
        <w:t>一流营商环境实施方案</w:t>
      </w:r>
      <w:r>
        <w:rPr>
          <w:rFonts w:hint="eastAsia" w:ascii="仿宋" w:hAnsi="仿宋" w:eastAsia="仿宋" w:cs="仿宋"/>
          <w:color w:val="auto"/>
          <w:spacing w:val="0"/>
          <w:sz w:val="32"/>
          <w:szCs w:val="32"/>
          <w:u w:val="none"/>
          <w:lang w:val="en-US" w:eastAsia="zh-CN"/>
        </w:rPr>
        <w:t>，加快推进《内蒙古自治区优化营商环境条例》立法进程</w:t>
      </w:r>
      <w:r>
        <w:rPr>
          <w:rFonts w:hint="eastAsia" w:ascii="仿宋" w:hAnsi="仿宋" w:eastAsia="仿宋" w:cs="仿宋"/>
          <w:color w:val="auto"/>
          <w:spacing w:val="0"/>
          <w:sz w:val="32"/>
          <w:szCs w:val="32"/>
          <w:u w:val="none"/>
        </w:rPr>
        <w:t>。实施政务服务优化提升行动，推出20个“高效办成一件事”重点事项。深入实施“综合检查一次”改革，实行“扫码</w:t>
      </w:r>
      <w:r>
        <w:rPr>
          <w:rFonts w:hint="eastAsia" w:ascii="仿宋" w:hAnsi="仿宋" w:eastAsia="仿宋" w:cs="仿宋"/>
          <w:color w:val="auto"/>
          <w:spacing w:val="6"/>
          <w:sz w:val="32"/>
          <w:szCs w:val="32"/>
          <w:u w:val="none"/>
        </w:rPr>
        <w:t>入企”，压减涉企行政检查频次。健全规范涉企执法长效机制。</w:t>
      </w:r>
      <w:r>
        <w:rPr>
          <w:rFonts w:hint="eastAsia" w:ascii="仿宋" w:hAnsi="仿宋" w:eastAsia="仿宋" w:cs="仿宋"/>
          <w:color w:val="auto"/>
          <w:spacing w:val="0"/>
          <w:sz w:val="32"/>
          <w:szCs w:val="32"/>
          <w:u w:val="none"/>
        </w:rPr>
        <w:t>常态化实行支持小微企业融资协调工作机制。实施规模以上工业企业、资质以上建筑企业、限额以上批零住餐企业、规模以上服务业企业梯度培育计划，培育壮大各类经营主体。</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（二）抓好重点问题整治。</w:t>
      </w:r>
      <w:r>
        <w:rPr>
          <w:rFonts w:hint="eastAsia" w:ascii="仿宋" w:hAnsi="仿宋" w:eastAsia="仿宋" w:cs="仿宋"/>
          <w:color w:val="auto"/>
          <w:spacing w:val="0"/>
          <w:sz w:val="32"/>
          <w:szCs w:val="32"/>
          <w:u w:val="none"/>
        </w:rPr>
        <w:t>做好中央巡视反馈意见整改落实工作，按要求推进各项督查（察）、审计等反馈问题整改。继续规范招商引资行为，有序清理规范各类展会论坛。扎实开展招投标领域突出问题系统整治，出台关于打击串通投标行政执法与刑事司法衔接工作办法。严格落实《党政机关厉行节约反对浪费条例》。巩固拓展深入贯彻中央八项规定精神学习教育成果。持续整治群众身边不正之风和腐败问题。</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（三）深化重要领域改革。</w:t>
      </w:r>
      <w:r>
        <w:rPr>
          <w:rFonts w:hint="eastAsia" w:ascii="仿宋" w:hAnsi="仿宋" w:eastAsia="仿宋" w:cs="仿宋"/>
          <w:color w:val="auto"/>
          <w:spacing w:val="0"/>
          <w:sz w:val="32"/>
          <w:szCs w:val="32"/>
          <w:u w:val="none"/>
        </w:rPr>
        <w:t>深化国资国企改革，制定实施进一步深化国资国企改革方案，推动非主业非优势业务出清、同质化业务重组整合，提升国有企业核心竞争力。构建更加灵活高效的市场化经营机制，加强央地合作和区域协作。有序推动自治区本级经营性国有资产集中统一监管，提升闲置低效资产盘活利用效益。“一企一策”开展亏损企业治理。推进财政领域改革，深化政府投融资管理改革，完善财政管理体制，进一步理顺盟市与旗县（市、区）两级财政事权和支出责任，推动盟市零基预算全覆盖。严格落实党政机关</w:t>
      </w:r>
      <w:r>
        <w:rPr>
          <w:rFonts w:hint="eastAsia" w:ascii="仿宋" w:hAnsi="仿宋" w:eastAsia="仿宋" w:cs="仿宋"/>
          <w:color w:val="auto"/>
          <w:spacing w:val="0"/>
          <w:sz w:val="32"/>
          <w:szCs w:val="32"/>
          <w:u w:val="none"/>
          <w:lang w:eastAsia="zh-CN"/>
        </w:rPr>
        <w:t>习惯</w:t>
      </w:r>
      <w:r>
        <w:rPr>
          <w:rFonts w:hint="eastAsia" w:ascii="仿宋" w:hAnsi="仿宋" w:eastAsia="仿宋" w:cs="仿宋"/>
          <w:color w:val="auto"/>
          <w:spacing w:val="0"/>
          <w:sz w:val="32"/>
          <w:szCs w:val="32"/>
          <w:u w:val="none"/>
        </w:rPr>
        <w:t>过紧日子要求，加大财政资金统筹整合力度，规范税收优惠、财政补贴政策，积极盘活闲置资产资源。深化科技体制改革，健全研发投入稳定增长和考核激励机制，完善科技成果评价机制、科技成果产权和收益分配制度。强化民生导向推进价费改革，推进公用事业价格改革，修订政府定价目</w:t>
      </w:r>
      <w:r>
        <w:rPr>
          <w:rFonts w:hint="eastAsia" w:ascii="仿宋" w:hAnsi="仿宋" w:eastAsia="仿宋" w:cs="仿宋"/>
          <w:color w:val="auto"/>
          <w:spacing w:val="6"/>
          <w:sz w:val="32"/>
          <w:szCs w:val="32"/>
          <w:u w:val="none"/>
        </w:rPr>
        <w:t>录，保障重要民生商品量足价稳。深入推进农村牧区领域改革，</w:t>
      </w:r>
      <w:r>
        <w:rPr>
          <w:rFonts w:hint="eastAsia" w:ascii="仿宋" w:hAnsi="仿宋" w:eastAsia="仿宋" w:cs="仿宋"/>
          <w:color w:val="auto"/>
          <w:spacing w:val="0"/>
          <w:sz w:val="32"/>
          <w:szCs w:val="32"/>
          <w:u w:val="none"/>
        </w:rPr>
        <w:t>稳妥有序推进第二轮土地承包到期后再延长30年试点</w:t>
      </w:r>
      <w:r>
        <w:rPr>
          <w:rFonts w:hint="eastAsia" w:ascii="仿宋" w:hAnsi="仿宋" w:eastAsia="仿宋" w:cs="仿宋"/>
          <w:color w:val="auto"/>
          <w:spacing w:val="0"/>
          <w:sz w:val="32"/>
          <w:szCs w:val="32"/>
          <w:u w:val="none"/>
          <w:lang w:eastAsia="zh-CN"/>
        </w:rPr>
        <w:t>、</w:t>
      </w:r>
      <w:r>
        <w:rPr>
          <w:rFonts w:hint="eastAsia" w:ascii="仿宋" w:hAnsi="仿宋" w:eastAsia="仿宋" w:cs="仿宋"/>
          <w:color w:val="auto"/>
          <w:spacing w:val="0"/>
          <w:sz w:val="32"/>
          <w:szCs w:val="32"/>
          <w:u w:val="none"/>
        </w:rPr>
        <w:t>草原二轮延包试点</w:t>
      </w:r>
      <w:r>
        <w:rPr>
          <w:rFonts w:hint="eastAsia" w:ascii="仿宋" w:hAnsi="仿宋" w:eastAsia="仿宋" w:cs="仿宋"/>
          <w:color w:val="auto"/>
          <w:spacing w:val="0"/>
          <w:sz w:val="32"/>
          <w:szCs w:val="32"/>
          <w:u w:val="none"/>
          <w:lang w:eastAsia="zh-CN"/>
        </w:rPr>
        <w:t>和第四次全国农业普查相关工作</w:t>
      </w:r>
      <w:r>
        <w:rPr>
          <w:rFonts w:hint="eastAsia" w:ascii="仿宋" w:hAnsi="仿宋" w:eastAsia="仿宋" w:cs="仿宋"/>
          <w:color w:val="auto"/>
          <w:spacing w:val="0"/>
          <w:sz w:val="32"/>
          <w:szCs w:val="32"/>
          <w:u w:val="none"/>
        </w:rPr>
        <w:t>，深化集体林权制度改革。</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pacing w:val="0"/>
          <w:sz w:val="32"/>
          <w:szCs w:val="32"/>
          <w:u w:val="none"/>
          <w:lang w:eastAsia="zh-CN"/>
        </w:rPr>
      </w:pPr>
      <w:r>
        <w:rPr>
          <w:rFonts w:hint="eastAsia" w:ascii="黑体" w:hAnsi="黑体" w:eastAsia="黑体" w:cs="黑体"/>
          <w:color w:val="auto"/>
          <w:spacing w:val="0"/>
          <w:sz w:val="32"/>
          <w:szCs w:val="32"/>
          <w:u w:val="none"/>
          <w:lang w:eastAsia="zh-CN"/>
        </w:rPr>
        <w:t>十一、优化区域经济布局，提升协调发展水平</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仿宋" w:hAnsi="仿宋" w:eastAsia="仿宋" w:cs="仿宋"/>
          <w:color w:val="auto"/>
          <w:spacing w:val="0"/>
          <w:sz w:val="32"/>
          <w:szCs w:val="32"/>
          <w:u w:val="none"/>
        </w:rPr>
        <w:t>落实国家区域重大战略，促进城乡区域协调发展。</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（一）促进东中西部协调发展。</w:t>
      </w:r>
      <w:r>
        <w:rPr>
          <w:rFonts w:hint="eastAsia" w:ascii="仿宋" w:hAnsi="仿宋" w:eastAsia="仿宋" w:cs="仿宋"/>
          <w:color w:val="auto"/>
          <w:spacing w:val="0"/>
          <w:sz w:val="32"/>
          <w:szCs w:val="32"/>
          <w:u w:val="none"/>
        </w:rPr>
        <w:t>编制自治区贯彻</w:t>
      </w:r>
      <w:r>
        <w:rPr>
          <w:rFonts w:hint="eastAsia" w:ascii="仿宋" w:hAnsi="仿宋" w:eastAsia="仿宋" w:cs="仿宋"/>
          <w:color w:val="auto"/>
          <w:spacing w:val="-6"/>
          <w:sz w:val="32"/>
          <w:szCs w:val="32"/>
          <w:u w:val="none"/>
        </w:rPr>
        <w:t>落实</w:t>
      </w:r>
      <w:r>
        <w:rPr>
          <w:rFonts w:hint="eastAsia" w:ascii="仿宋" w:hAnsi="仿宋" w:eastAsia="仿宋" w:cs="仿宋"/>
          <w:color w:val="auto"/>
          <w:spacing w:val="-6"/>
          <w:sz w:val="32"/>
          <w:szCs w:val="32"/>
          <w:u w:val="none"/>
          <w:lang w:eastAsia="zh-CN"/>
        </w:rPr>
        <w:t>党中央、</w:t>
      </w:r>
      <w:r>
        <w:rPr>
          <w:rFonts w:hint="eastAsia" w:ascii="仿宋" w:hAnsi="仿宋" w:eastAsia="仿宋" w:cs="仿宋"/>
          <w:color w:val="auto"/>
          <w:spacing w:val="0"/>
          <w:sz w:val="32"/>
          <w:szCs w:val="32"/>
          <w:u w:val="none"/>
          <w:lang w:eastAsia="zh-CN"/>
        </w:rPr>
        <w:t>国务院关于</w:t>
      </w:r>
      <w:r>
        <w:rPr>
          <w:rFonts w:hint="eastAsia" w:ascii="仿宋" w:hAnsi="仿宋" w:eastAsia="仿宋" w:cs="仿宋"/>
          <w:color w:val="auto"/>
          <w:spacing w:val="0"/>
          <w:sz w:val="32"/>
          <w:szCs w:val="32"/>
          <w:u w:val="none"/>
        </w:rPr>
        <w:t>“十五五”西部大开发、东北全面振兴、黄河流域生态保护和高质量发展</w:t>
      </w:r>
      <w:r>
        <w:rPr>
          <w:rFonts w:hint="eastAsia" w:ascii="仿宋" w:hAnsi="仿宋" w:eastAsia="仿宋" w:cs="仿宋"/>
          <w:color w:val="auto"/>
          <w:spacing w:val="0"/>
          <w:sz w:val="32"/>
          <w:szCs w:val="32"/>
          <w:u w:val="none"/>
          <w:lang w:eastAsia="zh-CN"/>
        </w:rPr>
        <w:t>决策部署</w:t>
      </w:r>
      <w:r>
        <w:rPr>
          <w:rFonts w:hint="eastAsia" w:ascii="仿宋" w:hAnsi="仿宋" w:eastAsia="仿宋" w:cs="仿宋"/>
          <w:color w:val="auto"/>
          <w:spacing w:val="0"/>
          <w:sz w:val="32"/>
          <w:szCs w:val="32"/>
          <w:u w:val="none"/>
        </w:rPr>
        <w:t>的配套文件。发挥中部盟市挑大梁作用，加快呼包鄂乌一体化发展和呼和浩特都市圈建设</w:t>
      </w:r>
      <w:r>
        <w:rPr>
          <w:rFonts w:hint="eastAsia" w:ascii="仿宋" w:hAnsi="仿宋" w:eastAsia="仿宋" w:cs="仿宋"/>
          <w:color w:val="auto"/>
          <w:spacing w:val="0"/>
          <w:sz w:val="32"/>
          <w:szCs w:val="32"/>
          <w:u w:val="none"/>
          <w:lang w:eastAsia="zh-CN"/>
        </w:rPr>
        <w:t>，支持包头老工业基地绿色转型、创新发展</w:t>
      </w:r>
      <w:r>
        <w:rPr>
          <w:rFonts w:hint="eastAsia" w:ascii="仿宋" w:hAnsi="仿宋" w:eastAsia="仿宋" w:cs="仿宋"/>
          <w:color w:val="auto"/>
          <w:spacing w:val="0"/>
          <w:sz w:val="32"/>
          <w:szCs w:val="32"/>
          <w:u w:val="none"/>
        </w:rPr>
        <w:t>。推动东部盟市全面振兴，围绕农牧业、特色工业体系、旅游、泛口岸经济等持续用力，补齐交通、物流等基础设施短板，统筹推动呼包鄂与东部盟市对口帮扶协作方案落实。推动西部盟市转型发展，支持乌海资源枯竭型城市加快绿色转型</w:t>
      </w:r>
      <w:r>
        <w:rPr>
          <w:rFonts w:hint="eastAsia" w:ascii="仿宋" w:hAnsi="仿宋" w:eastAsia="仿宋" w:cs="仿宋"/>
          <w:color w:val="auto"/>
          <w:spacing w:val="0"/>
          <w:sz w:val="32"/>
          <w:szCs w:val="32"/>
          <w:u w:val="none"/>
          <w:lang w:eastAsia="zh-CN"/>
        </w:rPr>
        <w:t>、</w:t>
      </w:r>
      <w:r>
        <w:rPr>
          <w:rFonts w:hint="eastAsia" w:ascii="仿宋" w:hAnsi="仿宋" w:eastAsia="仿宋" w:cs="仿宋"/>
          <w:color w:val="auto"/>
          <w:spacing w:val="0"/>
          <w:sz w:val="32"/>
          <w:szCs w:val="32"/>
          <w:u w:val="none"/>
        </w:rPr>
        <w:t>创新发展。统筹优化经济布局，支持各盟市因地制宜发展特色优势产业。</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（二）统筹推进新型城镇化和乡村全面振兴。</w:t>
      </w:r>
      <w:r>
        <w:rPr>
          <w:rFonts w:hint="eastAsia" w:ascii="仿宋" w:hAnsi="仿宋" w:eastAsia="仿宋" w:cs="仿宋"/>
          <w:color w:val="auto"/>
          <w:spacing w:val="0"/>
          <w:sz w:val="32"/>
          <w:szCs w:val="32"/>
          <w:u w:val="none"/>
        </w:rPr>
        <w:t>促进大中小城市和小城镇协调发展，科学有序推进农业转移人口市民化。分类推进以县城为重要载体的新型城镇化，“一县一策”壮大县域特色优势产业，推动县域基础设施一体化规划建设管护，扎实推进边境城镇建设。推动农村牧区一二三产业深度融合，培育壮大乡村特色产业，完善联农带农机制，促进农牧民稳定增收。深入学习运用“千万工程”经验，巩固拓展脱贫攻坚成果，实施好新一轮农村牧区集体经济扶持行动，建立常态化帮扶政策体系，投入帮扶资金90亿元以上。分类有序、片区</w:t>
      </w:r>
      <w:r>
        <w:rPr>
          <w:rFonts w:hint="eastAsia" w:ascii="仿宋" w:hAnsi="仿宋" w:eastAsia="仿宋" w:cs="仿宋"/>
          <w:color w:val="auto"/>
          <w:spacing w:val="0"/>
          <w:sz w:val="32"/>
          <w:szCs w:val="32"/>
          <w:u w:val="none"/>
          <w:lang w:eastAsia="zh-CN"/>
        </w:rPr>
        <w:t>化</w:t>
      </w:r>
      <w:r>
        <w:rPr>
          <w:rFonts w:hint="eastAsia" w:ascii="仿宋" w:hAnsi="仿宋" w:eastAsia="仿宋" w:cs="仿宋"/>
          <w:color w:val="auto"/>
          <w:spacing w:val="0"/>
          <w:sz w:val="32"/>
          <w:szCs w:val="32"/>
          <w:u w:val="none"/>
        </w:rPr>
        <w:t>推进“十百千”宜居宜业和美乡村建设。</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pacing w:val="0"/>
          <w:sz w:val="32"/>
          <w:szCs w:val="32"/>
          <w:u w:val="none"/>
          <w:lang w:eastAsia="zh-CN"/>
        </w:rPr>
      </w:pPr>
      <w:r>
        <w:rPr>
          <w:rFonts w:hint="eastAsia" w:ascii="黑体" w:hAnsi="黑体" w:eastAsia="黑体" w:cs="黑体"/>
          <w:color w:val="auto"/>
          <w:spacing w:val="0"/>
          <w:sz w:val="32"/>
          <w:szCs w:val="32"/>
          <w:u w:val="none"/>
          <w:lang w:eastAsia="zh-CN"/>
        </w:rPr>
        <w:t>十二、繁荣发展社会主义文化，建设文化强区</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仿宋" w:hAnsi="仿宋" w:eastAsia="仿宋" w:cs="仿宋"/>
          <w:color w:val="auto"/>
          <w:spacing w:val="0"/>
          <w:sz w:val="32"/>
          <w:szCs w:val="32"/>
          <w:u w:val="none"/>
        </w:rPr>
        <w:t>弘扬和践行社会主义核心价值观，加强党的创新理论学习和宣传教育，发展新时代中国特色社会主义文化，为各项事业发展提供强大精神文化支撑。</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（一）加强文化遗产保护传承。</w:t>
      </w:r>
      <w:r>
        <w:rPr>
          <w:rFonts w:hint="eastAsia" w:ascii="仿宋" w:hAnsi="仿宋" w:eastAsia="仿宋" w:cs="仿宋"/>
          <w:color w:val="auto"/>
          <w:spacing w:val="0"/>
          <w:sz w:val="32"/>
          <w:szCs w:val="32"/>
          <w:u w:val="none"/>
        </w:rPr>
        <w:t>实施中华优秀传统文化传承发展工程，加快红山文化遗址申遗进度，推进秦直道等文化遗产保护传承和活化利用，加强西辽河文化研究，持续开展长城考古调查，推动哈民考古遗址公园建设、大窑遗址公园提档升级，完</w:t>
      </w:r>
      <w:r>
        <w:rPr>
          <w:rFonts w:hint="eastAsia" w:ascii="仿宋" w:hAnsi="仿宋" w:eastAsia="仿宋" w:cs="仿宋"/>
          <w:color w:val="auto"/>
          <w:spacing w:val="6"/>
          <w:sz w:val="32"/>
          <w:szCs w:val="32"/>
          <w:u w:val="none"/>
        </w:rPr>
        <w:t>成第四次全国文物普查任务，办好“5</w:t>
      </w:r>
      <w:r>
        <w:rPr>
          <w:rFonts w:hint="eastAsia" w:ascii="仿宋" w:hAnsi="仿宋" w:eastAsia="仿宋" w:cs="仿宋"/>
          <w:i/>
          <w:color w:val="auto"/>
          <w:spacing w:val="6"/>
          <w:sz w:val="32"/>
          <w:szCs w:val="32"/>
          <w:u w:val="none"/>
        </w:rPr>
        <w:t>·</w:t>
      </w:r>
      <w:r>
        <w:rPr>
          <w:rFonts w:hint="eastAsia" w:ascii="仿宋" w:hAnsi="仿宋" w:eastAsia="仿宋" w:cs="仿宋"/>
          <w:color w:val="auto"/>
          <w:spacing w:val="6"/>
          <w:sz w:val="32"/>
          <w:szCs w:val="32"/>
          <w:u w:val="none"/>
        </w:rPr>
        <w:t>18国际博物馆日”中国主会场活动，公布自治区第一批古籍重点保护单位及珍贵古籍名录。</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（二）扩大优质文化产品供给。</w:t>
      </w:r>
      <w:r>
        <w:rPr>
          <w:rFonts w:hint="eastAsia" w:ascii="仿宋" w:hAnsi="仿宋" w:eastAsia="仿宋" w:cs="仿宋"/>
          <w:color w:val="auto"/>
          <w:spacing w:val="0"/>
          <w:sz w:val="32"/>
          <w:szCs w:val="32"/>
          <w:u w:val="none"/>
        </w:rPr>
        <w:t>发挥好乌兰牧骑“红色文艺轻骑兵”作用，实施“学·创·演”机制，开展乌兰牧骑走出去、乌兰牧骑月、“送欢乐</w:t>
      </w:r>
      <w:r>
        <w:rPr>
          <w:rFonts w:hint="eastAsia" w:ascii="仿宋" w:hAnsi="仿宋" w:eastAsia="仿宋" w:cs="仿宋"/>
          <w:color w:val="auto"/>
          <w:spacing w:val="0"/>
          <w:sz w:val="32"/>
          <w:szCs w:val="32"/>
          <w:u w:val="none"/>
          <w:lang w:val="en-US" w:eastAsia="zh-CN"/>
        </w:rPr>
        <w:t xml:space="preserve"> </w:t>
      </w:r>
      <w:r>
        <w:rPr>
          <w:rFonts w:hint="eastAsia" w:ascii="仿宋" w:hAnsi="仿宋" w:eastAsia="仿宋" w:cs="仿宋"/>
          <w:color w:val="auto"/>
          <w:spacing w:val="0"/>
          <w:sz w:val="32"/>
          <w:szCs w:val="32"/>
          <w:u w:val="none"/>
        </w:rPr>
        <w:t>送文明”基层服务活动等主题活动。办好全民阅读活动。推选100个自治区级农村牧区文化大院，命名一批“小而美”新型公共文化空间，广泛开展群众性文化活动，培</w:t>
      </w:r>
      <w:r>
        <w:rPr>
          <w:rFonts w:hint="eastAsia" w:ascii="仿宋" w:hAnsi="仿宋" w:eastAsia="仿宋" w:cs="仿宋"/>
          <w:color w:val="auto"/>
          <w:spacing w:val="6"/>
          <w:sz w:val="32"/>
          <w:szCs w:val="32"/>
          <w:u w:val="none"/>
        </w:rPr>
        <w:t>育发展“文化+科技”、“文化+数字”、“视听+旅游”等新业态，</w:t>
      </w:r>
      <w:r>
        <w:rPr>
          <w:rFonts w:hint="eastAsia" w:ascii="仿宋" w:hAnsi="仿宋" w:eastAsia="仿宋" w:cs="仿宋"/>
          <w:color w:val="auto"/>
          <w:spacing w:val="0"/>
          <w:sz w:val="32"/>
          <w:szCs w:val="32"/>
          <w:u w:val="none"/>
        </w:rPr>
        <w:t>打造一批自治区级公共文化服务高质量发展引领区。持续深化院团改革，扩大改革成效。做好交流合作宣传推广。</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（三）推进文旅体产业提档升级。</w:t>
      </w:r>
      <w:r>
        <w:rPr>
          <w:rFonts w:hint="eastAsia" w:ascii="仿宋" w:hAnsi="仿宋" w:eastAsia="仿宋" w:cs="仿宋"/>
          <w:color w:val="auto"/>
          <w:spacing w:val="0"/>
          <w:sz w:val="32"/>
          <w:szCs w:val="32"/>
          <w:u w:val="none"/>
        </w:rPr>
        <w:t>推动乌拉盖九曲湾、敖鲁古雅使鹿部落、老牛湾、阿尔山</w:t>
      </w:r>
      <w:r>
        <w:rPr>
          <w:rFonts w:hint="eastAsia" w:ascii="仿宋" w:hAnsi="仿宋" w:eastAsia="仿宋" w:cs="仿宋"/>
          <w:color w:val="auto"/>
          <w:spacing w:val="0"/>
          <w:sz w:val="32"/>
          <w:szCs w:val="32"/>
          <w:u w:val="none"/>
          <w:lang w:eastAsia="zh-CN"/>
        </w:rPr>
        <w:t>—</w:t>
      </w:r>
      <w:r>
        <w:rPr>
          <w:rFonts w:hint="eastAsia" w:ascii="仿宋" w:hAnsi="仿宋" w:eastAsia="仿宋" w:cs="仿宋"/>
          <w:color w:val="auto"/>
          <w:spacing w:val="0"/>
          <w:sz w:val="32"/>
          <w:szCs w:val="32"/>
          <w:u w:val="none"/>
        </w:rPr>
        <w:t>柴河等景区提档升级，推进长城、黄河国家文化公园建设，新增一批A级景区及自治区文旅品牌。大力发展赛事经济，持续开展“跟着赛事去旅行”、体育赛事“进街区、进景区、进商圈”、“乐享精彩赛事　寻味内蒙古美</w:t>
      </w:r>
      <w:r>
        <w:rPr>
          <w:rFonts w:hint="eastAsia" w:ascii="仿宋" w:hAnsi="仿宋" w:eastAsia="仿宋" w:cs="仿宋"/>
          <w:color w:val="auto"/>
          <w:spacing w:val="6"/>
          <w:sz w:val="32"/>
          <w:szCs w:val="32"/>
          <w:u w:val="none"/>
        </w:rPr>
        <w:t>食”系列活动，办好自治区第十六届运动会、第七届残特奥会。开展“消费券+票根经济”联动促销，打响“歌游内蒙古”品牌，持续打造“天天那达慕”、“我和草原有个约定”品牌。深入开展“引客入蒙”和“内蒙古人游内蒙古”活动，加大冬季冰雪旅游推介力度。持续提升旅游服务水平，强化文旅市场规范管理。</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pacing w:val="0"/>
          <w:sz w:val="32"/>
          <w:szCs w:val="32"/>
          <w:u w:val="none"/>
          <w:lang w:eastAsia="zh-CN"/>
        </w:rPr>
      </w:pPr>
      <w:r>
        <w:rPr>
          <w:rFonts w:hint="eastAsia" w:ascii="黑体" w:hAnsi="黑体" w:eastAsia="黑体" w:cs="黑体"/>
          <w:color w:val="auto"/>
          <w:spacing w:val="0"/>
          <w:sz w:val="32"/>
          <w:szCs w:val="32"/>
          <w:u w:val="none"/>
          <w:lang w:eastAsia="zh-CN"/>
        </w:rPr>
        <w:t>十三、始终坚持民生为大，不断加大保障和改善民生力度</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仿宋" w:hAnsi="仿宋" w:eastAsia="仿宋" w:cs="仿宋"/>
          <w:color w:val="auto"/>
          <w:spacing w:val="0"/>
          <w:sz w:val="32"/>
          <w:szCs w:val="32"/>
          <w:u w:val="none"/>
        </w:rPr>
        <w:t>加强普惠性、基础性、兜底性民生建设，实施好“十大民生工程”。</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（一）实施城乡居民增收工程。</w:t>
      </w:r>
      <w:r>
        <w:rPr>
          <w:rFonts w:hint="eastAsia" w:ascii="仿宋" w:hAnsi="仿宋" w:eastAsia="仿宋" w:cs="仿宋"/>
          <w:color w:val="auto"/>
          <w:spacing w:val="0"/>
          <w:sz w:val="32"/>
          <w:szCs w:val="32"/>
          <w:u w:val="none"/>
        </w:rPr>
        <w:t>充分发挥政策效应，健全工资合理增长、支付保障和最低工资标准调整机制，继续助力小微企业成长，推进个体工商户分型分类精准帮扶，加力扩围实施以工代赈，扎实开展欠薪欠保、违法裁员等问题整治，多渠道增加城乡居民收入。提高城乡居民养老保险基础养老金标准。</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（二）实施稳岗扩容提质工程。</w:t>
      </w:r>
      <w:r>
        <w:rPr>
          <w:rFonts w:hint="eastAsia" w:ascii="仿宋" w:hAnsi="仿宋" w:eastAsia="仿宋" w:cs="仿宋"/>
          <w:color w:val="auto"/>
          <w:spacing w:val="0"/>
          <w:sz w:val="32"/>
          <w:szCs w:val="32"/>
          <w:u w:val="none"/>
        </w:rPr>
        <w:t>用足用好稳岗返还、税费减免等政策工具，加强新就业群体的服务保障。</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（三）实施教育教学质量提升工程。</w:t>
      </w:r>
      <w:r>
        <w:rPr>
          <w:rFonts w:hint="eastAsia" w:ascii="仿宋" w:hAnsi="仿宋" w:eastAsia="仿宋" w:cs="仿宋"/>
          <w:color w:val="auto"/>
          <w:spacing w:val="0"/>
          <w:sz w:val="32"/>
          <w:szCs w:val="32"/>
          <w:u w:val="none"/>
        </w:rPr>
        <w:t>加强学龄人口净流入和净流出地区教育资源余缺调配。将学生意外伤害责任保险从义务</w:t>
      </w:r>
      <w:r>
        <w:rPr>
          <w:rFonts w:hint="eastAsia" w:ascii="仿宋" w:hAnsi="仿宋" w:eastAsia="仿宋" w:cs="仿宋"/>
          <w:color w:val="auto"/>
          <w:spacing w:val="6"/>
          <w:sz w:val="32"/>
          <w:szCs w:val="32"/>
          <w:u w:val="none"/>
        </w:rPr>
        <w:t>教育阶段扩大到高中阶段和普惠性幼儿园。加强校园安全建设，防范治理校园暴力与学生欺凌。扩大“学生饮用奶”计划覆盖范围。</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（四）实施医疗防治康管服务工程。</w:t>
      </w:r>
      <w:r>
        <w:rPr>
          <w:rFonts w:hint="eastAsia" w:ascii="仿宋" w:hAnsi="仿宋" w:eastAsia="仿宋" w:cs="仿宋"/>
          <w:color w:val="auto"/>
          <w:spacing w:val="0"/>
          <w:sz w:val="32"/>
          <w:szCs w:val="32"/>
          <w:u w:val="none"/>
        </w:rPr>
        <w:t>推进基本医疗保险自治区级统筹，分步分批推进长期护理保险制度建设。加强慢性病综合防控和过敏性鼻炎、雷暴哮喘等防治。</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（五）实施基本养老服务体系优化工程。</w:t>
      </w:r>
      <w:r>
        <w:rPr>
          <w:rFonts w:hint="eastAsia" w:ascii="仿宋" w:hAnsi="仿宋" w:eastAsia="仿宋" w:cs="仿宋"/>
          <w:color w:val="auto"/>
          <w:spacing w:val="0"/>
          <w:sz w:val="32"/>
          <w:szCs w:val="32"/>
          <w:u w:val="none"/>
        </w:rPr>
        <w:t>向中度以上失能老</w:t>
      </w:r>
      <w:r>
        <w:rPr>
          <w:rFonts w:hint="eastAsia" w:ascii="仿宋" w:hAnsi="仿宋" w:eastAsia="仿宋" w:cs="仿宋"/>
          <w:color w:val="auto"/>
          <w:spacing w:val="6"/>
          <w:sz w:val="32"/>
          <w:szCs w:val="32"/>
          <w:u w:val="none"/>
        </w:rPr>
        <w:t>年人发放养老服务消费补贴，提升“一刻钟”居家养老服务圈质量。</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（六）实施生育友好型社会建设工程。</w:t>
      </w:r>
      <w:r>
        <w:rPr>
          <w:rFonts w:hint="eastAsia" w:ascii="仿宋" w:hAnsi="仿宋" w:eastAsia="仿宋" w:cs="仿宋"/>
          <w:color w:val="auto"/>
          <w:spacing w:val="0"/>
          <w:sz w:val="32"/>
          <w:szCs w:val="32"/>
          <w:u w:val="none"/>
        </w:rPr>
        <w:t>落实好各项生育支持政策和激励措施，发展普惠托育和托幼一体化服务。</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（七）实施道路交通畅行工程。</w:t>
      </w:r>
      <w:r>
        <w:rPr>
          <w:rFonts w:hint="eastAsia" w:ascii="仿宋" w:hAnsi="仿宋" w:eastAsia="仿宋" w:cs="仿宋"/>
          <w:color w:val="auto"/>
          <w:spacing w:val="0"/>
          <w:sz w:val="32"/>
          <w:szCs w:val="32"/>
          <w:u w:val="none"/>
        </w:rPr>
        <w:t>着力解决高峰堵车和</w:t>
      </w:r>
      <w:r>
        <w:rPr>
          <w:rFonts w:hint="eastAsia" w:ascii="仿宋" w:hAnsi="仿宋" w:eastAsia="仿宋" w:cs="仿宋"/>
          <w:color w:val="auto"/>
          <w:spacing w:val="-6"/>
          <w:sz w:val="32"/>
          <w:szCs w:val="32"/>
          <w:u w:val="none"/>
        </w:rPr>
        <w:t>乱收费、</w:t>
      </w:r>
      <w:r>
        <w:rPr>
          <w:rFonts w:hint="eastAsia" w:ascii="仿宋" w:hAnsi="仿宋" w:eastAsia="仿宋" w:cs="仿宋"/>
          <w:color w:val="auto"/>
          <w:spacing w:val="0"/>
          <w:sz w:val="32"/>
          <w:szCs w:val="32"/>
          <w:u w:val="none"/>
        </w:rPr>
        <w:t>乱停车等问题，推动具备条件的高铁站、机场建设网约车专用停车区。</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（八）实施矛盾纠纷多元化解工程。</w:t>
      </w:r>
      <w:r>
        <w:rPr>
          <w:rFonts w:hint="eastAsia" w:ascii="仿宋" w:hAnsi="仿宋" w:eastAsia="仿宋" w:cs="仿宋"/>
          <w:color w:val="auto"/>
          <w:spacing w:val="0"/>
          <w:sz w:val="32"/>
          <w:szCs w:val="32"/>
          <w:u w:val="none"/>
        </w:rPr>
        <w:t>及时排查化解家庭、邻</w:t>
      </w:r>
      <w:r>
        <w:rPr>
          <w:rFonts w:hint="eastAsia" w:ascii="仿宋" w:hAnsi="仿宋" w:eastAsia="仿宋" w:cs="仿宋"/>
          <w:color w:val="auto"/>
          <w:spacing w:val="6"/>
          <w:sz w:val="32"/>
          <w:szCs w:val="32"/>
          <w:u w:val="none"/>
        </w:rPr>
        <w:t>里等矛盾和土地草牧场边界、承包流转、征占补贴、劳动争议、</w:t>
      </w:r>
      <w:r>
        <w:rPr>
          <w:rFonts w:hint="eastAsia" w:ascii="仿宋" w:hAnsi="仿宋" w:eastAsia="仿宋" w:cs="仿宋"/>
          <w:color w:val="auto"/>
          <w:spacing w:val="0"/>
          <w:sz w:val="32"/>
          <w:szCs w:val="32"/>
          <w:u w:val="none"/>
        </w:rPr>
        <w:t>物业服务等纠纷，推动城乡法律援助服务网络全覆盖。</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（九）实施消费者权益保护工程。</w:t>
      </w:r>
      <w:r>
        <w:rPr>
          <w:rFonts w:hint="eastAsia" w:ascii="仿宋" w:hAnsi="仿宋" w:eastAsia="仿宋" w:cs="仿宋"/>
          <w:color w:val="auto"/>
          <w:spacing w:val="0"/>
          <w:sz w:val="32"/>
          <w:szCs w:val="32"/>
          <w:u w:val="none"/>
        </w:rPr>
        <w:t>加强市场监管执法，专项整治食品安全、价格秩序、假冒侵权、缺斤短两等消费者反映的热点问题。</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（十）实施城乡人居环境改善工程。</w:t>
      </w:r>
      <w:r>
        <w:rPr>
          <w:rFonts w:hint="eastAsia" w:ascii="仿宋" w:hAnsi="仿宋" w:eastAsia="仿宋" w:cs="仿宋"/>
          <w:color w:val="auto"/>
          <w:spacing w:val="0"/>
          <w:sz w:val="32"/>
          <w:szCs w:val="32"/>
          <w:u w:val="none"/>
        </w:rPr>
        <w:t>大力推进城市更新，加快推进城市危旧房和老旧小区、街区、厂区、管网改造，加快水电</w:t>
      </w:r>
      <w:r>
        <w:rPr>
          <w:rFonts w:hint="eastAsia" w:ascii="仿宋" w:hAnsi="仿宋" w:eastAsia="仿宋" w:cs="仿宋"/>
          <w:color w:val="auto"/>
          <w:spacing w:val="0"/>
          <w:sz w:val="32"/>
          <w:szCs w:val="32"/>
          <w:u w:val="none"/>
          <w:lang w:eastAsia="zh-CN"/>
        </w:rPr>
        <w:t>气</w:t>
      </w:r>
      <w:r>
        <w:rPr>
          <w:rFonts w:hint="eastAsia" w:ascii="仿宋" w:hAnsi="仿宋" w:eastAsia="仿宋" w:cs="仿宋"/>
          <w:color w:val="auto"/>
          <w:spacing w:val="0"/>
          <w:sz w:val="32"/>
          <w:szCs w:val="32"/>
          <w:u w:val="none"/>
        </w:rPr>
        <w:t>暖网等建设升级，实施物业服务质量提升行动。推动收购存量商品房用于保障性住房、安置房、人才房等。补齐城市防洪排涝设施短板，继续做好受灾地区灾后重建工作。</w:t>
      </w:r>
    </w:p>
    <w:p>
      <w:pPr>
        <w:keepNext w:val="0"/>
        <w:keepLines w:val="0"/>
        <w:pageBreakBefore w:val="0"/>
        <w:widowControl w:val="0"/>
        <w:kinsoku/>
        <w:wordWrap w:val="0"/>
        <w:overflowPunct/>
        <w:topLinePunct/>
        <w:autoSpaceDE/>
        <w:autoSpaceDN/>
        <w:bidi w:val="0"/>
        <w:adjustRightInd/>
        <w:snapToGrid/>
        <w:spacing w:line="580" w:lineRule="exact"/>
        <w:jc w:val="center"/>
        <w:textAlignment w:val="auto"/>
        <w:rPr>
          <w:rFonts w:hint="eastAsia" w:ascii="黑体" w:hAnsi="黑体" w:eastAsia="黑体" w:cs="黑体"/>
          <w:color w:val="auto"/>
          <w:spacing w:val="0"/>
          <w:sz w:val="32"/>
          <w:szCs w:val="32"/>
          <w:u w:val="none"/>
        </w:rPr>
      </w:pPr>
      <w:r>
        <w:rPr>
          <w:rFonts w:hint="eastAsia" w:ascii="黑体" w:hAnsi="黑体" w:eastAsia="黑体" w:cs="黑体"/>
          <w:color w:val="auto"/>
          <w:spacing w:val="0"/>
          <w:sz w:val="32"/>
          <w:szCs w:val="32"/>
          <w:u w:val="none"/>
        </w:rPr>
        <w:t>专栏3</w:t>
      </w:r>
      <w:r>
        <w:rPr>
          <w:rFonts w:hint="eastAsia" w:ascii="黑体" w:hAnsi="黑体" w:eastAsia="黑体" w:cs="黑体"/>
          <w:color w:val="auto"/>
          <w:spacing w:val="0"/>
          <w:sz w:val="32"/>
          <w:szCs w:val="32"/>
          <w:u w:val="none"/>
          <w:lang w:val="en-US" w:eastAsia="zh-CN"/>
        </w:rPr>
        <w:t xml:space="preserve">  </w:t>
      </w:r>
      <w:r>
        <w:rPr>
          <w:rFonts w:hint="eastAsia" w:ascii="黑体" w:hAnsi="黑体" w:eastAsia="黑体" w:cs="黑体"/>
          <w:color w:val="auto"/>
          <w:spacing w:val="0"/>
          <w:sz w:val="32"/>
          <w:szCs w:val="32"/>
          <w:u w:val="none"/>
        </w:rPr>
        <w:t>十大民生工程重点任务目标</w:t>
      </w:r>
    </w:p>
    <w:tbl>
      <w:tblPr>
        <w:tblStyle w:val="11"/>
        <w:tblW w:w="8981"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2639"/>
        <w:gridCol w:w="634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729" w:hRule="atLeast"/>
          <w:jc w:val="center"/>
        </w:trPr>
        <w:tc>
          <w:tcPr>
            <w:tcW w:w="2639" w:type="dxa"/>
            <w:tcBorders>
              <w:tl2br w:val="nil"/>
              <w:tr2bl w:val="nil"/>
            </w:tcBorders>
            <w:noWrap w:val="0"/>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城乡居民</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增收工程</w:t>
            </w:r>
          </w:p>
        </w:tc>
        <w:tc>
          <w:tcPr>
            <w:tcW w:w="6342" w:type="dxa"/>
            <w:tcBorders>
              <w:tl2br w:val="nil"/>
              <w:tr2bl w:val="nil"/>
            </w:tcBorders>
            <w:noWrap w:val="0"/>
            <w:tcMar>
              <w:top w:w="23" w:type="dxa"/>
              <w:left w:w="42" w:type="dxa"/>
              <w:bottom w:w="23" w:type="dxa"/>
              <w:right w:w="42"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1.</w:t>
            </w:r>
            <w:r>
              <w:rPr>
                <w:rFonts w:hint="eastAsia" w:ascii="仿宋" w:hAnsi="仿宋" w:eastAsia="仿宋" w:cs="仿宋"/>
                <w:color w:val="auto"/>
                <w:spacing w:val="0"/>
                <w:sz w:val="28"/>
                <w:szCs w:val="28"/>
                <w:u w:val="none"/>
              </w:rPr>
              <w:t>年度“三北”工程、高标准农田项目“以工代赈”发放劳务报酬20亿元以上</w:t>
            </w:r>
            <w:r>
              <w:rPr>
                <w:rFonts w:hint="eastAsia" w:ascii="仿宋" w:hAnsi="仿宋" w:eastAsia="仿宋" w:cs="仿宋"/>
                <w:color w:val="auto"/>
                <w:spacing w:val="0"/>
                <w:sz w:val="28"/>
                <w:szCs w:val="28"/>
                <w:u w:val="none"/>
                <w:lang w:eastAsia="zh-CN"/>
              </w:rPr>
              <w:t>。</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2.</w:t>
            </w:r>
            <w:r>
              <w:rPr>
                <w:rFonts w:hint="eastAsia" w:ascii="仿宋" w:hAnsi="仿宋" w:eastAsia="仿宋" w:cs="仿宋"/>
                <w:color w:val="auto"/>
                <w:spacing w:val="0"/>
                <w:sz w:val="28"/>
                <w:szCs w:val="28"/>
                <w:u w:val="none"/>
              </w:rPr>
              <w:t>确保基本养老、医疗保险参保率稳定在95%以上</w:t>
            </w:r>
            <w:r>
              <w:rPr>
                <w:rFonts w:hint="eastAsia" w:ascii="仿宋" w:hAnsi="仿宋" w:eastAsia="仿宋" w:cs="仿宋"/>
                <w:color w:val="auto"/>
                <w:spacing w:val="0"/>
                <w:sz w:val="28"/>
                <w:szCs w:val="28"/>
                <w:u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706" w:hRule="atLeast"/>
          <w:jc w:val="center"/>
        </w:trPr>
        <w:tc>
          <w:tcPr>
            <w:tcW w:w="2639" w:type="dxa"/>
            <w:tcBorders>
              <w:tl2br w:val="nil"/>
              <w:tr2bl w:val="nil"/>
            </w:tcBorders>
            <w:noWrap w:val="0"/>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稳岗扩容</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提质工程</w:t>
            </w:r>
          </w:p>
        </w:tc>
        <w:tc>
          <w:tcPr>
            <w:tcW w:w="6342" w:type="dxa"/>
            <w:tcBorders>
              <w:tl2br w:val="nil"/>
              <w:tr2bl w:val="nil"/>
            </w:tcBorders>
            <w:noWrap w:val="0"/>
            <w:tcMar>
              <w:top w:w="23" w:type="dxa"/>
              <w:left w:w="42" w:type="dxa"/>
              <w:bottom w:w="23" w:type="dxa"/>
              <w:right w:w="42"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rPr>
              <w:t>开展职业技能培训40万人次，新建“家门口”就业服务站500个，新增退役军人就业4000人、残疾人就业6500人</w:t>
            </w:r>
            <w:r>
              <w:rPr>
                <w:rFonts w:hint="eastAsia" w:ascii="仿宋" w:hAnsi="仿宋" w:eastAsia="仿宋" w:cs="仿宋"/>
                <w:color w:val="auto"/>
                <w:spacing w:val="0"/>
                <w:sz w:val="28"/>
                <w:szCs w:val="28"/>
                <w:u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163" w:hRule="atLeast"/>
          <w:jc w:val="center"/>
        </w:trPr>
        <w:tc>
          <w:tcPr>
            <w:tcW w:w="2639" w:type="dxa"/>
            <w:tcBorders>
              <w:tl2br w:val="nil"/>
              <w:tr2bl w:val="nil"/>
            </w:tcBorders>
            <w:noWrap w:val="0"/>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教育教学质量</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提升工程</w:t>
            </w:r>
          </w:p>
        </w:tc>
        <w:tc>
          <w:tcPr>
            <w:tcW w:w="6342" w:type="dxa"/>
            <w:tcBorders>
              <w:tl2br w:val="nil"/>
              <w:tr2bl w:val="nil"/>
            </w:tcBorders>
            <w:noWrap w:val="0"/>
            <w:tcMar>
              <w:top w:w="23" w:type="dxa"/>
              <w:left w:w="42" w:type="dxa"/>
              <w:bottom w:w="23" w:type="dxa"/>
              <w:right w:w="42"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rPr>
              <w:t>实施县域高中振兴行动计划，增加5000个普通高中招生计划</w:t>
            </w:r>
            <w:r>
              <w:rPr>
                <w:rFonts w:hint="eastAsia" w:ascii="仿宋" w:hAnsi="仿宋" w:eastAsia="仿宋" w:cs="仿宋"/>
                <w:color w:val="auto"/>
                <w:spacing w:val="0"/>
                <w:sz w:val="28"/>
                <w:szCs w:val="28"/>
                <w:u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608" w:hRule="atLeast"/>
          <w:jc w:val="center"/>
        </w:trPr>
        <w:tc>
          <w:tcPr>
            <w:tcW w:w="2639" w:type="dxa"/>
            <w:tcBorders>
              <w:tl2br w:val="nil"/>
              <w:tr2bl w:val="nil"/>
            </w:tcBorders>
            <w:noWrap w:val="0"/>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医疗防治康管</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服务工程</w:t>
            </w:r>
          </w:p>
        </w:tc>
        <w:tc>
          <w:tcPr>
            <w:tcW w:w="6342" w:type="dxa"/>
            <w:tcBorders>
              <w:tl2br w:val="nil"/>
              <w:tr2bl w:val="nil"/>
            </w:tcBorders>
            <w:noWrap w:val="0"/>
            <w:tcMar>
              <w:top w:w="23" w:type="dxa"/>
              <w:left w:w="42" w:type="dxa"/>
              <w:bottom w:w="23" w:type="dxa"/>
              <w:right w:w="42"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1.</w:t>
            </w:r>
            <w:r>
              <w:rPr>
                <w:rFonts w:hint="eastAsia" w:ascii="仿宋" w:hAnsi="仿宋" w:eastAsia="仿宋" w:cs="仿宋"/>
                <w:color w:val="auto"/>
                <w:spacing w:val="0"/>
                <w:sz w:val="28"/>
                <w:szCs w:val="28"/>
                <w:u w:val="none"/>
              </w:rPr>
              <w:t>建设运营好国家区域医疗中心和自治区专科区域医疗服务中心</w:t>
            </w:r>
            <w:r>
              <w:rPr>
                <w:rFonts w:hint="eastAsia" w:ascii="仿宋" w:hAnsi="仿宋" w:eastAsia="仿宋" w:cs="仿宋"/>
                <w:color w:val="auto"/>
                <w:spacing w:val="0"/>
                <w:sz w:val="28"/>
                <w:szCs w:val="28"/>
                <w:u w:val="none"/>
                <w:lang w:eastAsia="zh-CN"/>
              </w:rPr>
              <w:t>。</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2.</w:t>
            </w:r>
            <w:r>
              <w:rPr>
                <w:rFonts w:hint="eastAsia" w:ascii="仿宋" w:hAnsi="仿宋" w:eastAsia="仿宋" w:cs="仿宋"/>
                <w:color w:val="auto"/>
                <w:spacing w:val="0"/>
                <w:sz w:val="28"/>
                <w:szCs w:val="28"/>
                <w:u w:val="none"/>
              </w:rPr>
              <w:t>开展高血压、糖尿病用药医保统筹线上支付试点工作</w:t>
            </w:r>
            <w:r>
              <w:rPr>
                <w:rFonts w:hint="eastAsia" w:ascii="仿宋" w:hAnsi="仿宋" w:eastAsia="仿宋" w:cs="仿宋"/>
                <w:color w:val="auto"/>
                <w:spacing w:val="0"/>
                <w:sz w:val="28"/>
                <w:szCs w:val="28"/>
                <w:u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145" w:hRule="atLeast"/>
          <w:jc w:val="center"/>
        </w:trPr>
        <w:tc>
          <w:tcPr>
            <w:tcW w:w="2639" w:type="dxa"/>
            <w:tcBorders>
              <w:tl2br w:val="nil"/>
              <w:tr2bl w:val="nil"/>
            </w:tcBorders>
            <w:noWrap w:val="0"/>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基本养老服务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体系优化工程</w:t>
            </w:r>
          </w:p>
        </w:tc>
        <w:tc>
          <w:tcPr>
            <w:tcW w:w="6342" w:type="dxa"/>
            <w:tcBorders>
              <w:tl2br w:val="nil"/>
              <w:tr2bl w:val="nil"/>
            </w:tcBorders>
            <w:noWrap w:val="0"/>
            <w:tcMar>
              <w:top w:w="23" w:type="dxa"/>
              <w:left w:w="42" w:type="dxa"/>
              <w:bottom w:w="23" w:type="dxa"/>
              <w:right w:w="42"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1.</w:t>
            </w:r>
            <w:r>
              <w:rPr>
                <w:rFonts w:hint="eastAsia" w:ascii="仿宋" w:hAnsi="仿宋" w:eastAsia="仿宋" w:cs="仿宋"/>
                <w:color w:val="auto"/>
                <w:spacing w:val="0"/>
                <w:sz w:val="28"/>
                <w:szCs w:val="28"/>
                <w:u w:val="none"/>
              </w:rPr>
              <w:t>完善20个县乡村三级养老服务网络</w:t>
            </w:r>
            <w:r>
              <w:rPr>
                <w:rFonts w:hint="eastAsia" w:ascii="仿宋" w:hAnsi="仿宋" w:eastAsia="仿宋" w:cs="仿宋"/>
                <w:color w:val="auto"/>
                <w:spacing w:val="0"/>
                <w:sz w:val="28"/>
                <w:szCs w:val="28"/>
                <w:u w:val="none"/>
                <w:lang w:eastAsia="zh-CN"/>
              </w:rPr>
              <w:t>。</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2.</w:t>
            </w:r>
            <w:r>
              <w:rPr>
                <w:rFonts w:hint="eastAsia" w:ascii="仿宋" w:hAnsi="仿宋" w:eastAsia="仿宋" w:cs="仿宋"/>
                <w:color w:val="auto"/>
                <w:spacing w:val="0"/>
                <w:sz w:val="28"/>
                <w:szCs w:val="28"/>
                <w:u w:val="none"/>
              </w:rPr>
              <w:t>建成家庭养老床位7000张</w:t>
            </w:r>
            <w:r>
              <w:rPr>
                <w:rFonts w:hint="eastAsia" w:ascii="仿宋" w:hAnsi="仿宋" w:eastAsia="仿宋" w:cs="仿宋"/>
                <w:color w:val="auto"/>
                <w:spacing w:val="0"/>
                <w:sz w:val="28"/>
                <w:szCs w:val="28"/>
                <w:u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163" w:hRule="atLeast"/>
          <w:jc w:val="center"/>
        </w:trPr>
        <w:tc>
          <w:tcPr>
            <w:tcW w:w="2639" w:type="dxa"/>
            <w:tcBorders>
              <w:tl2br w:val="nil"/>
              <w:tr2bl w:val="nil"/>
            </w:tcBorders>
            <w:noWrap w:val="0"/>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生育友好型</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社会建设工程</w:t>
            </w:r>
          </w:p>
        </w:tc>
        <w:tc>
          <w:tcPr>
            <w:tcW w:w="6342" w:type="dxa"/>
            <w:tcBorders>
              <w:tl2br w:val="nil"/>
              <w:tr2bl w:val="nil"/>
            </w:tcBorders>
            <w:noWrap w:val="0"/>
            <w:tcMar>
              <w:top w:w="23" w:type="dxa"/>
              <w:left w:w="42" w:type="dxa"/>
              <w:bottom w:w="23" w:type="dxa"/>
              <w:right w:w="42"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1.</w:t>
            </w:r>
            <w:r>
              <w:rPr>
                <w:rFonts w:hint="eastAsia" w:ascii="仿宋" w:hAnsi="仿宋" w:eastAsia="仿宋" w:cs="仿宋"/>
                <w:color w:val="auto"/>
                <w:spacing w:val="0"/>
                <w:sz w:val="28"/>
                <w:szCs w:val="28"/>
                <w:u w:val="none"/>
              </w:rPr>
              <w:t>普惠性幼儿园覆盖率达到93%以上</w:t>
            </w:r>
            <w:r>
              <w:rPr>
                <w:rFonts w:hint="eastAsia" w:ascii="仿宋" w:hAnsi="仿宋" w:eastAsia="仿宋" w:cs="仿宋"/>
                <w:color w:val="auto"/>
                <w:spacing w:val="0"/>
                <w:sz w:val="28"/>
                <w:szCs w:val="28"/>
                <w:u w:val="none"/>
                <w:lang w:eastAsia="zh-CN"/>
              </w:rPr>
              <w:t>。</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2.</w:t>
            </w:r>
            <w:r>
              <w:rPr>
                <w:rFonts w:hint="eastAsia" w:ascii="仿宋" w:hAnsi="仿宋" w:eastAsia="仿宋" w:cs="仿宋"/>
                <w:color w:val="auto"/>
                <w:spacing w:val="0"/>
                <w:sz w:val="28"/>
                <w:szCs w:val="28"/>
                <w:u w:val="none"/>
              </w:rPr>
              <w:t>为新生儿免费提供苯丙酮尿症等疾病筛查服务</w:t>
            </w:r>
            <w:r>
              <w:rPr>
                <w:rFonts w:hint="eastAsia" w:ascii="仿宋" w:hAnsi="仿宋" w:eastAsia="仿宋" w:cs="仿宋"/>
                <w:color w:val="auto"/>
                <w:spacing w:val="0"/>
                <w:sz w:val="28"/>
                <w:szCs w:val="28"/>
                <w:u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055" w:hRule="atLeast"/>
          <w:jc w:val="center"/>
        </w:trPr>
        <w:tc>
          <w:tcPr>
            <w:tcW w:w="2639" w:type="dxa"/>
            <w:tcBorders>
              <w:tl2br w:val="nil"/>
              <w:tr2bl w:val="nil"/>
            </w:tcBorders>
            <w:noWrap w:val="0"/>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道路交通</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畅行工程</w:t>
            </w:r>
          </w:p>
        </w:tc>
        <w:tc>
          <w:tcPr>
            <w:tcW w:w="6342" w:type="dxa"/>
            <w:tcBorders>
              <w:tl2br w:val="nil"/>
              <w:tr2bl w:val="nil"/>
            </w:tcBorders>
            <w:noWrap w:val="0"/>
            <w:tcMar>
              <w:top w:w="23" w:type="dxa"/>
              <w:left w:w="42" w:type="dxa"/>
              <w:bottom w:w="23" w:type="dxa"/>
              <w:right w:w="42"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rPr>
              <w:t>打通断头路、修复坑洼路</w:t>
            </w:r>
            <w:r>
              <w:rPr>
                <w:rFonts w:hint="eastAsia" w:ascii="仿宋" w:hAnsi="仿宋" w:eastAsia="仿宋" w:cs="仿宋"/>
                <w:color w:val="auto"/>
                <w:spacing w:val="0"/>
                <w:sz w:val="28"/>
                <w:szCs w:val="28"/>
                <w:u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099" w:hRule="atLeast"/>
          <w:jc w:val="center"/>
        </w:trPr>
        <w:tc>
          <w:tcPr>
            <w:tcW w:w="2639" w:type="dxa"/>
            <w:tcBorders>
              <w:tl2br w:val="nil"/>
              <w:tr2bl w:val="nil"/>
            </w:tcBorders>
            <w:noWrap w:val="0"/>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矛盾纠纷</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多元化解工程</w:t>
            </w:r>
          </w:p>
        </w:tc>
        <w:tc>
          <w:tcPr>
            <w:tcW w:w="6342" w:type="dxa"/>
            <w:tcBorders>
              <w:tl2br w:val="nil"/>
              <w:tr2bl w:val="nil"/>
            </w:tcBorders>
            <w:noWrap w:val="0"/>
            <w:tcMar>
              <w:top w:w="23" w:type="dxa"/>
              <w:left w:w="42" w:type="dxa"/>
              <w:bottom w:w="23" w:type="dxa"/>
              <w:right w:w="42"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6"/>
                <w:sz w:val="28"/>
                <w:szCs w:val="28"/>
                <w:u w:val="none"/>
              </w:rPr>
              <w:t>12345</w:t>
            </w:r>
            <w:r>
              <w:rPr>
                <w:rFonts w:hint="eastAsia" w:ascii="仿宋" w:hAnsi="仿宋" w:eastAsia="仿宋" w:cs="仿宋"/>
                <w:color w:val="auto"/>
                <w:spacing w:val="6"/>
                <w:sz w:val="28"/>
                <w:szCs w:val="28"/>
                <w:u w:val="none"/>
                <w:lang w:eastAsia="zh-CN"/>
              </w:rPr>
              <w:t>政务服务便民</w:t>
            </w:r>
            <w:r>
              <w:rPr>
                <w:rFonts w:hint="eastAsia" w:ascii="仿宋" w:hAnsi="仿宋" w:eastAsia="仿宋" w:cs="仿宋"/>
                <w:color w:val="auto"/>
                <w:spacing w:val="6"/>
                <w:sz w:val="28"/>
                <w:szCs w:val="28"/>
                <w:u w:val="none"/>
              </w:rPr>
              <w:t>热线群众诉求满意度达到90%以上</w:t>
            </w:r>
            <w:r>
              <w:rPr>
                <w:rFonts w:hint="eastAsia" w:ascii="仿宋" w:hAnsi="仿宋" w:eastAsia="仿宋" w:cs="仿宋"/>
                <w:color w:val="auto"/>
                <w:spacing w:val="6"/>
                <w:sz w:val="28"/>
                <w:szCs w:val="28"/>
                <w:u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089" w:hRule="atLeast"/>
          <w:jc w:val="center"/>
        </w:trPr>
        <w:tc>
          <w:tcPr>
            <w:tcW w:w="2639" w:type="dxa"/>
            <w:tcBorders>
              <w:tl2br w:val="nil"/>
              <w:tr2bl w:val="nil"/>
            </w:tcBorders>
            <w:noWrap w:val="0"/>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消费者权益</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保护工程</w:t>
            </w:r>
          </w:p>
        </w:tc>
        <w:tc>
          <w:tcPr>
            <w:tcW w:w="6342" w:type="dxa"/>
            <w:tcBorders>
              <w:tl2br w:val="nil"/>
              <w:tr2bl w:val="nil"/>
            </w:tcBorders>
            <w:noWrap w:val="0"/>
            <w:tcMar>
              <w:top w:w="23" w:type="dxa"/>
              <w:left w:w="42" w:type="dxa"/>
              <w:bottom w:w="23" w:type="dxa"/>
              <w:right w:w="42"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rPr>
              <w:t>推行“放心消费”、“线下无理由退货”双承诺，农批农贸市场食用农产品实现天天检</w:t>
            </w:r>
            <w:r>
              <w:rPr>
                <w:rFonts w:hint="eastAsia" w:ascii="仿宋" w:hAnsi="仿宋" w:eastAsia="仿宋" w:cs="仿宋"/>
                <w:color w:val="auto"/>
                <w:spacing w:val="0"/>
                <w:sz w:val="28"/>
                <w:szCs w:val="28"/>
                <w:u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163" w:hRule="atLeast"/>
          <w:jc w:val="center"/>
        </w:trPr>
        <w:tc>
          <w:tcPr>
            <w:tcW w:w="2639" w:type="dxa"/>
            <w:tcBorders>
              <w:tl2br w:val="nil"/>
              <w:tr2bl w:val="nil"/>
            </w:tcBorders>
            <w:noWrap w:val="0"/>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城乡人居环境</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改善工程</w:t>
            </w:r>
          </w:p>
        </w:tc>
        <w:tc>
          <w:tcPr>
            <w:tcW w:w="6342" w:type="dxa"/>
            <w:tcBorders>
              <w:tl2br w:val="nil"/>
              <w:tr2bl w:val="nil"/>
            </w:tcBorders>
            <w:noWrap w:val="0"/>
            <w:tcMar>
              <w:top w:w="23" w:type="dxa"/>
              <w:left w:w="42" w:type="dxa"/>
              <w:bottom w:w="23" w:type="dxa"/>
              <w:right w:w="42"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1.</w:t>
            </w:r>
            <w:r>
              <w:rPr>
                <w:rFonts w:hint="eastAsia" w:ascii="仿宋" w:hAnsi="仿宋" w:eastAsia="仿宋" w:cs="仿宋"/>
                <w:color w:val="auto"/>
                <w:spacing w:val="0"/>
                <w:sz w:val="28"/>
                <w:szCs w:val="28"/>
                <w:u w:val="none"/>
              </w:rPr>
              <w:t>加装、更新住宅电梯500部以上</w:t>
            </w:r>
            <w:r>
              <w:rPr>
                <w:rFonts w:hint="eastAsia" w:ascii="仿宋" w:hAnsi="仿宋" w:eastAsia="仿宋" w:cs="仿宋"/>
                <w:color w:val="auto"/>
                <w:spacing w:val="0"/>
                <w:sz w:val="28"/>
                <w:szCs w:val="28"/>
                <w:u w:val="none"/>
                <w:lang w:eastAsia="zh-CN"/>
              </w:rPr>
              <w:t>。</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2.</w:t>
            </w:r>
            <w:r>
              <w:rPr>
                <w:rFonts w:hint="eastAsia" w:ascii="仿宋" w:hAnsi="仿宋" w:eastAsia="仿宋" w:cs="仿宋"/>
                <w:color w:val="auto"/>
                <w:spacing w:val="0"/>
                <w:sz w:val="28"/>
                <w:szCs w:val="28"/>
                <w:u w:val="none"/>
              </w:rPr>
              <w:t>发放城镇住房保障家庭租赁补贴1.6万户</w:t>
            </w:r>
            <w:r>
              <w:rPr>
                <w:rFonts w:hint="eastAsia" w:ascii="仿宋" w:hAnsi="仿宋" w:eastAsia="仿宋" w:cs="仿宋"/>
                <w:color w:val="auto"/>
                <w:spacing w:val="0"/>
                <w:sz w:val="28"/>
                <w:szCs w:val="28"/>
                <w:u w:val="none"/>
                <w:lang w:eastAsia="zh-CN"/>
              </w:rPr>
              <w:t>。</w:t>
            </w:r>
          </w:p>
        </w:tc>
      </w:tr>
    </w:tbl>
    <w:p>
      <w:pPr>
        <w:rPr>
          <w:rFonts w:hint="eastAsia" w:ascii="黑体" w:hAnsi="黑体" w:eastAsia="黑体" w:cs="黑体"/>
          <w:spacing w:val="0"/>
          <w:sz w:val="32"/>
          <w:szCs w:val="32"/>
        </w:rPr>
      </w:pPr>
      <w:r>
        <w:rPr>
          <w:rFonts w:hint="eastAsia" w:ascii="仿宋" w:hAnsi="仿宋" w:eastAsia="仿宋" w:cs="仿宋"/>
          <w:spacing w:val="0"/>
          <w:sz w:val="32"/>
          <w:szCs w:val="32"/>
          <w:lang w:val="en-US" w:eastAsia="zh-CN"/>
        </w:rPr>
        <w:t xml:space="preserve">    </w:t>
      </w:r>
      <w:r>
        <w:rPr>
          <w:rFonts w:hint="eastAsia" w:ascii="黑体" w:hAnsi="黑体" w:eastAsia="黑体" w:cs="黑体"/>
          <w:spacing w:val="0"/>
          <w:sz w:val="32"/>
          <w:szCs w:val="32"/>
          <w:lang w:eastAsia="zh-CN"/>
        </w:rPr>
        <w:t>十四、</w:t>
      </w:r>
      <w:r>
        <w:rPr>
          <w:rFonts w:hint="eastAsia" w:ascii="黑体" w:hAnsi="黑体" w:eastAsia="黑体" w:cs="黑体"/>
          <w:spacing w:val="0"/>
          <w:sz w:val="32"/>
          <w:szCs w:val="32"/>
        </w:rPr>
        <w:t>坚持把党的领导贯穿政府工作各方面全过程</w:t>
      </w:r>
    </w:p>
    <w:p>
      <w:pPr>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做好2026年工作，要坚决贯彻习近平总书记对内蒙古系列</w:t>
      </w:r>
      <w:r>
        <w:rPr>
          <w:rFonts w:hint="eastAsia" w:ascii="仿宋" w:hAnsi="仿宋" w:eastAsia="仿宋" w:cs="仿宋"/>
          <w:spacing w:val="-6"/>
          <w:sz w:val="32"/>
          <w:szCs w:val="32"/>
        </w:rPr>
        <w:t>重要讲话重要指示精神，深刻领悟“两个确立”的决定性意义，</w:t>
      </w:r>
      <w:r>
        <w:rPr>
          <w:rFonts w:hint="eastAsia" w:ascii="仿宋" w:hAnsi="仿宋" w:eastAsia="仿宋" w:cs="仿宋"/>
          <w:spacing w:val="0"/>
          <w:sz w:val="32"/>
          <w:szCs w:val="32"/>
        </w:rPr>
        <w:t>增强“四个意识”、坚定“四个自信”、做到“两个维护”，全面贯彻落实党中央、国务院决策部署，确保自治区党委工作要求不折不扣落地见效，自觉接受人大监督，认真听取人大代表、政协委员意见建议。坚持党的全面领导，切实把党领导各项工作的制度优势转化为治理效能，坚持人民至上，突出实干实绩导向，树立和践行正确政绩观，扎实推进法治政府、诚信政府、高效政府、廉洁政府、服务型政府建设。启动实施自治区“十五五”规划，齐心协力、奋发进取，以钉钉子精神做实做细做好各项工作，全力推动“十五五”良好开局，奋力书写中国式现代化内蒙古新篇章。</w:t>
      </w:r>
      <w:bookmarkEnd w:id="1"/>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5"/>
        <w:tabs>
          <w:tab w:val="left" w:pos="7560"/>
        </w:tabs>
        <w:wordWrap w:val="0"/>
        <w:ind w:left="4520" w:leftChars="2058" w:hanging="198" w:hangingChars="62"/>
        <w:jc w:val="right"/>
        <w:rPr>
          <w:rFonts w:hint="eastAsia" w:ascii="黑体" w:eastAsia="黑体"/>
          <w:spacing w:val="0"/>
        </w:rPr>
      </w:pPr>
      <w:r>
        <w:rPr>
          <w:rFonts w:hint="eastAsia" w:ascii="黑体" w:eastAsia="黑体"/>
          <w:spacing w:val="0"/>
        </w:rPr>
        <w:t xml:space="preserve">        </w:t>
      </w:r>
    </w:p>
    <w:tbl>
      <w:tblPr>
        <w:tblStyle w:val="11"/>
        <w:tblW w:w="8923" w:type="dxa"/>
        <w:jc w:val="center"/>
        <w:tblInd w:w="23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23"/>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92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自治区人大常委会办公厅</w:t>
            </w:r>
            <w:r>
              <w:rPr>
                <w:rFonts w:hint="eastAsia" w:ascii="仿宋" w:hAnsi="仿宋" w:eastAsia="仿宋" w:cs="仿宋"/>
                <w:sz w:val="28"/>
                <w:szCs w:val="28"/>
                <w:lang w:eastAsia="zh-CN"/>
              </w:rPr>
              <w:t>，自治区</w:t>
            </w:r>
            <w:r>
              <w:rPr>
                <w:rFonts w:hint="eastAsia" w:ascii="仿宋" w:hAnsi="仿宋" w:eastAsia="仿宋" w:cs="仿宋"/>
                <w:sz w:val="28"/>
                <w:szCs w:val="28"/>
              </w:rPr>
              <w:t>政协办公厅，</w:t>
            </w:r>
            <w:r>
              <w:rPr>
                <w:rFonts w:hint="eastAsia" w:ascii="仿宋" w:hAnsi="仿宋" w:eastAsia="仿宋" w:cs="仿宋"/>
                <w:sz w:val="28"/>
                <w:szCs w:val="28"/>
                <w:lang w:eastAsia="zh-CN"/>
              </w:rPr>
              <w:t>自治区监委，</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自治区高</w:t>
            </w:r>
            <w:r>
              <w:rPr>
                <w:rFonts w:hint="eastAsia" w:ascii="仿宋" w:hAnsi="仿宋" w:eastAsia="仿宋" w:cs="仿宋"/>
                <w:sz w:val="28"/>
                <w:szCs w:val="28"/>
              </w:rPr>
              <w:t>级人民法院，</w:t>
            </w:r>
            <w:r>
              <w:rPr>
                <w:rFonts w:hint="eastAsia" w:ascii="仿宋" w:hAnsi="仿宋" w:eastAsia="仿宋" w:cs="仿宋"/>
                <w:sz w:val="28"/>
                <w:szCs w:val="28"/>
                <w:lang w:eastAsia="zh-CN"/>
              </w:rPr>
              <w:t>自治区人民</w:t>
            </w:r>
            <w:r>
              <w:rPr>
                <w:rFonts w:hint="eastAsia" w:ascii="仿宋" w:hAnsi="仿宋" w:eastAsia="仿宋" w:cs="仿宋"/>
                <w:sz w:val="28"/>
                <w:szCs w:val="28"/>
              </w:rPr>
              <w:t>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各民主党派区委会，</w:t>
            </w:r>
            <w:r>
              <w:rPr>
                <w:rFonts w:hint="eastAsia" w:ascii="仿宋" w:hAnsi="仿宋" w:eastAsia="仿宋" w:cs="仿宋"/>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92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 xml:space="preserve">内蒙古自治区人民政府办公厅文电处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日印发</w:t>
            </w:r>
          </w:p>
        </w:tc>
      </w:tr>
    </w:tbl>
    <w:p>
      <w:pPr>
        <w:spacing w:line="20" w:lineRule="exact"/>
        <w:rPr>
          <w:rFonts w:hint="eastAsia"/>
          <w:spacing w:val="0"/>
        </w:rPr>
      </w:pPr>
      <w:r>
        <w:rPr>
          <w:rFonts w:hint="default"/>
          <w:spacing w:val="0"/>
          <w:lang w:val="en-US" w:eastAsia="zh-CN"/>
        </w:rPr>
        <w:drawing>
          <wp:anchor distT="0" distB="0" distL="114300" distR="114300" simplePos="0" relativeHeight="251659264" behindDoc="0" locked="0" layoutInCell="1" allowOverlap="1">
            <wp:simplePos x="0" y="0"/>
            <wp:positionH relativeFrom="column">
              <wp:posOffset>3641725</wp:posOffset>
            </wp:positionH>
            <wp:positionV relativeFrom="paragraph">
              <wp:posOffset>247650</wp:posOffset>
            </wp:positionV>
            <wp:extent cx="1790700" cy="533400"/>
            <wp:effectExtent l="0" t="0" r="0" b="0"/>
            <wp:wrapSquare wrapText="bothSides"/>
            <wp:docPr id="1" name="图片 5" descr="NZ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F5"/>
                    <pic:cNvPicPr>
                      <a:picLocks noChangeAspect="1"/>
                    </pic:cNvPicPr>
                  </pic:nvPicPr>
                  <pic:blipFill>
                    <a:blip r:embed="rId8"/>
                    <a:stretch>
                      <a:fillRect/>
                    </a:stretch>
                  </pic:blipFill>
                  <pic:spPr>
                    <a:xfrm>
                      <a:off x="0" y="0"/>
                      <a:ext cx="1790700" cy="53340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304"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000" w:usb1="00000000" w:usb2="00000000" w:usb3="00000000" w:csb0="0004009F" w:csb1="DFD70000"/>
  </w:font>
  <w:font w:name="方正小标宋_GBK">
    <w:altName w:val="微软雅黑"/>
    <w:panose1 w:val="03000502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4"/>
        <w:rFonts w:hint="eastAsia" w:ascii="宋体" w:hAnsi="宋体"/>
        <w:sz w:val="28"/>
        <w:szCs w:val="28"/>
      </w:rPr>
    </w:pP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14E0D"/>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16F7"/>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A66EC"/>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211A"/>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B71C1"/>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4F1B"/>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2406"/>
    <w:rsid w:val="00A746B2"/>
    <w:rsid w:val="00A74FC4"/>
    <w:rsid w:val="00A8034A"/>
    <w:rsid w:val="00A81344"/>
    <w:rsid w:val="00A8144C"/>
    <w:rsid w:val="00A82198"/>
    <w:rsid w:val="00A85729"/>
    <w:rsid w:val="00A85F2C"/>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6F3"/>
    <w:rsid w:val="00B40DCF"/>
    <w:rsid w:val="00B41574"/>
    <w:rsid w:val="00B43C7B"/>
    <w:rsid w:val="00B4489A"/>
    <w:rsid w:val="00B4656E"/>
    <w:rsid w:val="00B47AB4"/>
    <w:rsid w:val="00B509ED"/>
    <w:rsid w:val="00B51750"/>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2E26"/>
    <w:rsid w:val="00EC6399"/>
    <w:rsid w:val="00EC7B6C"/>
    <w:rsid w:val="00ED00C1"/>
    <w:rsid w:val="00ED059D"/>
    <w:rsid w:val="00ED11DD"/>
    <w:rsid w:val="00ED3579"/>
    <w:rsid w:val="00ED36C0"/>
    <w:rsid w:val="00ED6C3E"/>
    <w:rsid w:val="00ED6EE5"/>
    <w:rsid w:val="00ED7646"/>
    <w:rsid w:val="00ED7EF1"/>
    <w:rsid w:val="00EE610D"/>
    <w:rsid w:val="00EE642A"/>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11410E7"/>
    <w:rsid w:val="01B422F5"/>
    <w:rsid w:val="02CA179F"/>
    <w:rsid w:val="030C5A8C"/>
    <w:rsid w:val="03D257CF"/>
    <w:rsid w:val="043D4CEA"/>
    <w:rsid w:val="04D871BC"/>
    <w:rsid w:val="083A6877"/>
    <w:rsid w:val="0A202906"/>
    <w:rsid w:val="0B4C1738"/>
    <w:rsid w:val="0C1C59CF"/>
    <w:rsid w:val="0ED107B7"/>
    <w:rsid w:val="0F6E701B"/>
    <w:rsid w:val="0FEF32CA"/>
    <w:rsid w:val="11095B8B"/>
    <w:rsid w:val="15DDE197"/>
    <w:rsid w:val="16036302"/>
    <w:rsid w:val="16A022AB"/>
    <w:rsid w:val="1777FAF4"/>
    <w:rsid w:val="17BF0607"/>
    <w:rsid w:val="19DFDFF2"/>
    <w:rsid w:val="1A3A4DBC"/>
    <w:rsid w:val="1A4E5312"/>
    <w:rsid w:val="1CF777BC"/>
    <w:rsid w:val="1DD11934"/>
    <w:rsid w:val="1ED24BFE"/>
    <w:rsid w:val="1F1F6C8E"/>
    <w:rsid w:val="1F48029C"/>
    <w:rsid w:val="1FA8605F"/>
    <w:rsid w:val="1FCE7DD2"/>
    <w:rsid w:val="1FD7B63E"/>
    <w:rsid w:val="25984E90"/>
    <w:rsid w:val="26C82B97"/>
    <w:rsid w:val="26D846AB"/>
    <w:rsid w:val="273E7C3F"/>
    <w:rsid w:val="27B5125A"/>
    <w:rsid w:val="28B640A0"/>
    <w:rsid w:val="28F73B28"/>
    <w:rsid w:val="2A615292"/>
    <w:rsid w:val="2BAD69DC"/>
    <w:rsid w:val="2C820ECB"/>
    <w:rsid w:val="2DE6D0CF"/>
    <w:rsid w:val="2E84799A"/>
    <w:rsid w:val="2F314E0D"/>
    <w:rsid w:val="2F7E1441"/>
    <w:rsid w:val="2FF788ED"/>
    <w:rsid w:val="31FB13EA"/>
    <w:rsid w:val="324B7FDA"/>
    <w:rsid w:val="32D75A45"/>
    <w:rsid w:val="338A1A32"/>
    <w:rsid w:val="35BF37C1"/>
    <w:rsid w:val="370A6D13"/>
    <w:rsid w:val="377FBF06"/>
    <w:rsid w:val="37BB78D9"/>
    <w:rsid w:val="37CC2D27"/>
    <w:rsid w:val="37D14CBB"/>
    <w:rsid w:val="399E0F98"/>
    <w:rsid w:val="39FFC942"/>
    <w:rsid w:val="3A4E2F34"/>
    <w:rsid w:val="3B0C60D1"/>
    <w:rsid w:val="3BE7A112"/>
    <w:rsid w:val="3C6B26BF"/>
    <w:rsid w:val="3DFE93CF"/>
    <w:rsid w:val="3E2866CC"/>
    <w:rsid w:val="3F1F88CD"/>
    <w:rsid w:val="3F7F2E8E"/>
    <w:rsid w:val="3FAD8CBE"/>
    <w:rsid w:val="41D75940"/>
    <w:rsid w:val="423C5704"/>
    <w:rsid w:val="43372FFD"/>
    <w:rsid w:val="44EE513B"/>
    <w:rsid w:val="458A5715"/>
    <w:rsid w:val="465327CE"/>
    <w:rsid w:val="475543AD"/>
    <w:rsid w:val="47A67C94"/>
    <w:rsid w:val="48A045AB"/>
    <w:rsid w:val="49095F46"/>
    <w:rsid w:val="499F0266"/>
    <w:rsid w:val="4A28753D"/>
    <w:rsid w:val="4B4F7E57"/>
    <w:rsid w:val="4C134A8D"/>
    <w:rsid w:val="4D1709C3"/>
    <w:rsid w:val="4F6294CE"/>
    <w:rsid w:val="4F6A2AE2"/>
    <w:rsid w:val="4FBB2524"/>
    <w:rsid w:val="4FBF2882"/>
    <w:rsid w:val="4FF3805C"/>
    <w:rsid w:val="51796035"/>
    <w:rsid w:val="52815F6A"/>
    <w:rsid w:val="540F0375"/>
    <w:rsid w:val="57767280"/>
    <w:rsid w:val="57C62E0C"/>
    <w:rsid w:val="57CC07EF"/>
    <w:rsid w:val="57CED5DE"/>
    <w:rsid w:val="58135360"/>
    <w:rsid w:val="58FB8CED"/>
    <w:rsid w:val="597DBE54"/>
    <w:rsid w:val="5BED11FB"/>
    <w:rsid w:val="5C4A2FDE"/>
    <w:rsid w:val="5C957B5A"/>
    <w:rsid w:val="5CBFDB00"/>
    <w:rsid w:val="5D3B224C"/>
    <w:rsid w:val="5DC12740"/>
    <w:rsid w:val="5EEE2C77"/>
    <w:rsid w:val="5EFBC7B8"/>
    <w:rsid w:val="5F45041F"/>
    <w:rsid w:val="5F4F7D06"/>
    <w:rsid w:val="5F8FE584"/>
    <w:rsid w:val="5FBF354B"/>
    <w:rsid w:val="5FC7B001"/>
    <w:rsid w:val="5FEFD790"/>
    <w:rsid w:val="5FF48BD1"/>
    <w:rsid w:val="5FFBEF9A"/>
    <w:rsid w:val="60A76D6C"/>
    <w:rsid w:val="63D9B376"/>
    <w:rsid w:val="63F63AE4"/>
    <w:rsid w:val="63FAE659"/>
    <w:rsid w:val="66FFDB2E"/>
    <w:rsid w:val="673F65E4"/>
    <w:rsid w:val="67F88528"/>
    <w:rsid w:val="68DF471C"/>
    <w:rsid w:val="6A1C2667"/>
    <w:rsid w:val="6A7F580B"/>
    <w:rsid w:val="6BEF1C80"/>
    <w:rsid w:val="6C60119C"/>
    <w:rsid w:val="6C7B28DB"/>
    <w:rsid w:val="6DA8D5BC"/>
    <w:rsid w:val="6DCD7FD7"/>
    <w:rsid w:val="6DDE9617"/>
    <w:rsid w:val="6DFA1037"/>
    <w:rsid w:val="6ECF23D3"/>
    <w:rsid w:val="6F6DAE9A"/>
    <w:rsid w:val="6FDFE975"/>
    <w:rsid w:val="6FFDA50B"/>
    <w:rsid w:val="6FFEEB8D"/>
    <w:rsid w:val="6FFF91B3"/>
    <w:rsid w:val="706B7E78"/>
    <w:rsid w:val="722D19B3"/>
    <w:rsid w:val="728F1E7C"/>
    <w:rsid w:val="72D52371"/>
    <w:rsid w:val="75765346"/>
    <w:rsid w:val="75BC6B65"/>
    <w:rsid w:val="75F546D0"/>
    <w:rsid w:val="769F7AB2"/>
    <w:rsid w:val="76E62AC7"/>
    <w:rsid w:val="77665557"/>
    <w:rsid w:val="77734B75"/>
    <w:rsid w:val="77882560"/>
    <w:rsid w:val="77D77261"/>
    <w:rsid w:val="77F7E40F"/>
    <w:rsid w:val="789555C1"/>
    <w:rsid w:val="79D70EC9"/>
    <w:rsid w:val="79FE4EB8"/>
    <w:rsid w:val="79FF42F8"/>
    <w:rsid w:val="7AA226C9"/>
    <w:rsid w:val="7AE9AA8C"/>
    <w:rsid w:val="7B196250"/>
    <w:rsid w:val="7B5B512A"/>
    <w:rsid w:val="7B5ED9C7"/>
    <w:rsid w:val="7B75DC66"/>
    <w:rsid w:val="7B7FFB4F"/>
    <w:rsid w:val="7BEBF7D7"/>
    <w:rsid w:val="7BFA71EA"/>
    <w:rsid w:val="7BFFCA77"/>
    <w:rsid w:val="7CBE4081"/>
    <w:rsid w:val="7CBFE3F4"/>
    <w:rsid w:val="7D3742C4"/>
    <w:rsid w:val="7D772DBC"/>
    <w:rsid w:val="7D7F394B"/>
    <w:rsid w:val="7DBF6B6F"/>
    <w:rsid w:val="7DFAEBFE"/>
    <w:rsid w:val="7E06559B"/>
    <w:rsid w:val="7EB5D88A"/>
    <w:rsid w:val="7EB94687"/>
    <w:rsid w:val="7EDF0F22"/>
    <w:rsid w:val="7F5FCA6C"/>
    <w:rsid w:val="7F7345F5"/>
    <w:rsid w:val="7F750EDF"/>
    <w:rsid w:val="7F7B7903"/>
    <w:rsid w:val="7F7BCA73"/>
    <w:rsid w:val="7F976A66"/>
    <w:rsid w:val="7F9E80B8"/>
    <w:rsid w:val="7F9F1DCF"/>
    <w:rsid w:val="7F9F6B47"/>
    <w:rsid w:val="7F9F6C67"/>
    <w:rsid w:val="7FDE07CC"/>
    <w:rsid w:val="7FFF5433"/>
    <w:rsid w:val="8BEFF70C"/>
    <w:rsid w:val="8F6FE71C"/>
    <w:rsid w:val="90A77A3C"/>
    <w:rsid w:val="9EDFA7B7"/>
    <w:rsid w:val="9F7530F2"/>
    <w:rsid w:val="9F9C9752"/>
    <w:rsid w:val="9FCF6961"/>
    <w:rsid w:val="A7F7FD1F"/>
    <w:rsid w:val="ABBCB24E"/>
    <w:rsid w:val="AD2FBC54"/>
    <w:rsid w:val="AEF56192"/>
    <w:rsid w:val="AF3FBB2E"/>
    <w:rsid w:val="AF7F9132"/>
    <w:rsid w:val="AF8F7169"/>
    <w:rsid w:val="AFB0A308"/>
    <w:rsid w:val="B6ED5E69"/>
    <w:rsid w:val="BBBF29BB"/>
    <w:rsid w:val="BD19522C"/>
    <w:rsid w:val="BDF74CA6"/>
    <w:rsid w:val="BDF7EE5D"/>
    <w:rsid w:val="BDFF29C6"/>
    <w:rsid w:val="BEFFEA9C"/>
    <w:rsid w:val="BF7724FE"/>
    <w:rsid w:val="BFBEAB07"/>
    <w:rsid w:val="BFDB4461"/>
    <w:rsid w:val="BFEE1C9C"/>
    <w:rsid w:val="BFF7442D"/>
    <w:rsid w:val="C0DFE680"/>
    <w:rsid w:val="C3FF7B94"/>
    <w:rsid w:val="C96BC6FC"/>
    <w:rsid w:val="C9FE259A"/>
    <w:rsid w:val="CAB75E67"/>
    <w:rsid w:val="CB99342D"/>
    <w:rsid w:val="CCDBEC6D"/>
    <w:rsid w:val="CDDB245D"/>
    <w:rsid w:val="D36F35A9"/>
    <w:rsid w:val="D58B311E"/>
    <w:rsid w:val="D76DE2B7"/>
    <w:rsid w:val="DBE3D8B7"/>
    <w:rsid w:val="DBEF4BB3"/>
    <w:rsid w:val="DDBD2661"/>
    <w:rsid w:val="DEC5F1F9"/>
    <w:rsid w:val="DF3F3633"/>
    <w:rsid w:val="DF5B5673"/>
    <w:rsid w:val="DF9467F3"/>
    <w:rsid w:val="DF9FAD2D"/>
    <w:rsid w:val="DFF73AAA"/>
    <w:rsid w:val="DFFFA71B"/>
    <w:rsid w:val="E3BFCE8D"/>
    <w:rsid w:val="E47EC952"/>
    <w:rsid w:val="E62FF67B"/>
    <w:rsid w:val="E6FFF0BC"/>
    <w:rsid w:val="E7BF07AB"/>
    <w:rsid w:val="E9BD9B94"/>
    <w:rsid w:val="EAFEAE72"/>
    <w:rsid w:val="EBBBBC4D"/>
    <w:rsid w:val="ED1B48E8"/>
    <w:rsid w:val="EDFF7A2D"/>
    <w:rsid w:val="EF757D9E"/>
    <w:rsid w:val="EF9FA4E3"/>
    <w:rsid w:val="EFC9DA4E"/>
    <w:rsid w:val="EFDA2FF2"/>
    <w:rsid w:val="EFDD43C6"/>
    <w:rsid w:val="F1DFD1BF"/>
    <w:rsid w:val="F37FE04F"/>
    <w:rsid w:val="F3EFE4C3"/>
    <w:rsid w:val="F57F72BE"/>
    <w:rsid w:val="F5F75E58"/>
    <w:rsid w:val="F75F84AD"/>
    <w:rsid w:val="F7DE8AE8"/>
    <w:rsid w:val="F91E563E"/>
    <w:rsid w:val="F9BEF778"/>
    <w:rsid w:val="F9FF98B2"/>
    <w:rsid w:val="FA7D39EA"/>
    <w:rsid w:val="FAFE4B8B"/>
    <w:rsid w:val="FAFF9ECE"/>
    <w:rsid w:val="FB7A2E2E"/>
    <w:rsid w:val="FBEF61AB"/>
    <w:rsid w:val="FBFBF74D"/>
    <w:rsid w:val="FBFFF869"/>
    <w:rsid w:val="FC7F4CEB"/>
    <w:rsid w:val="FED6F401"/>
    <w:rsid w:val="FEDF2359"/>
    <w:rsid w:val="FEF642F3"/>
    <w:rsid w:val="FF7EEA06"/>
    <w:rsid w:val="FFB4CA9B"/>
    <w:rsid w:val="FFC3C708"/>
    <w:rsid w:val="FFD44D5F"/>
    <w:rsid w:val="FFDE421A"/>
    <w:rsid w:val="FFE7F8BF"/>
    <w:rsid w:val="FFF5E89A"/>
    <w:rsid w:val="FFF73D39"/>
    <w:rsid w:val="FFFF181B"/>
    <w:rsid w:val="FFFF59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val="0"/>
      <w:keepLines/>
      <w:suppressAutoHyphens/>
      <w:bidi w:val="0"/>
      <w:spacing w:before="0" w:beforeLines="0" w:beforeAutospacing="0" w:after="0" w:afterLines="0" w:afterAutospacing="0" w:line="560" w:lineRule="exact"/>
      <w:ind w:firstLine="720" w:firstLineChars="200"/>
      <w:jc w:val="left"/>
      <w:outlineLvl w:val="1"/>
    </w:pPr>
    <w:rPr>
      <w:rFonts w:ascii="Arial" w:hAnsi="Arial" w:eastAsia="黑体" w:cs="Times New Roman"/>
      <w:color w:val="000000"/>
      <w:sz w:val="32"/>
      <w:szCs w:val="24"/>
      <w:lang w:bidi="ar-SA"/>
    </w:rPr>
  </w:style>
  <w:style w:type="character" w:default="1" w:styleId="13">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标准中文版式_正文"/>
    <w:basedOn w:val="1"/>
    <w:qFormat/>
    <w:uiPriority w:val="0"/>
    <w:pPr>
      <w:suppressAutoHyphens/>
      <w:bidi w:val="0"/>
      <w:spacing w:before="30" w:line="360" w:lineRule="auto"/>
      <w:ind w:firstLine="200"/>
    </w:pPr>
    <w:rPr>
      <w:rFonts w:ascii="Arial" w:hAnsi="Arial" w:eastAsia="宋体" w:cs="Times New Roman"/>
      <w:color w:val="auto"/>
      <w:sz w:val="24"/>
      <w:szCs w:val="24"/>
      <w:lang w:bidi="ar-SA"/>
    </w:rPr>
  </w:style>
  <w:style w:type="paragraph" w:styleId="4">
    <w:name w:val="Document Map"/>
    <w:basedOn w:val="1"/>
    <w:semiHidden/>
    <w:qFormat/>
    <w:uiPriority w:val="0"/>
    <w:pPr>
      <w:shd w:val="clear" w:color="auto" w:fill="000080"/>
    </w:pPr>
  </w:style>
  <w:style w:type="paragraph" w:styleId="5">
    <w:name w:val="Date"/>
    <w:basedOn w:val="1"/>
    <w:next w:val="1"/>
    <w:link w:val="17"/>
    <w:qFormat/>
    <w:uiPriority w:val="0"/>
    <w:pPr>
      <w:ind w:left="100" w:leftChars="2500"/>
    </w:pPr>
    <w:rPr>
      <w:rFonts w:ascii="仿宋_GB2312" w:eastAsia="仿宋_GB2312"/>
      <w:sz w:val="32"/>
    </w:rPr>
  </w:style>
  <w:style w:type="paragraph" w:styleId="6">
    <w:name w:val="Balloon Text"/>
    <w:basedOn w:val="1"/>
    <w:semiHidden/>
    <w:qFormat/>
    <w:uiPriority w:val="0"/>
    <w:rPr>
      <w:sz w:val="18"/>
      <w:szCs w:val="18"/>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next w:val="10"/>
    <w:qFormat/>
    <w:uiPriority w:val="0"/>
    <w:pPr>
      <w:spacing w:before="240" w:beforeLines="0" w:after="60" w:afterLines="0"/>
      <w:jc w:val="center"/>
    </w:pPr>
    <w:rPr>
      <w:rFonts w:ascii="Calibri Light" w:hAnsi="Calibri Light" w:eastAsia="宋体" w:cs="Calibri"/>
      <w:b/>
      <w:bCs/>
      <w:sz w:val="32"/>
      <w:szCs w:val="32"/>
      <w:lang w:bidi="ar-SA"/>
    </w:rPr>
  </w:style>
  <w:style w:type="paragraph" w:customStyle="1" w:styleId="10">
    <w:name w:val="BodyTextIndent"/>
    <w:basedOn w:val="1"/>
    <w:qFormat/>
    <w:uiPriority w:val="0"/>
    <w:pPr>
      <w:tabs>
        <w:tab w:val="left" w:pos="360"/>
        <w:tab w:val="left" w:pos="540"/>
        <w:tab w:val="left" w:pos="720"/>
        <w:tab w:val="left" w:pos="1800"/>
      </w:tabs>
      <w:spacing w:line="360" w:lineRule="auto"/>
      <w:ind w:firstLine="573"/>
      <w:jc w:val="both"/>
    </w:pPr>
    <w:rPr>
      <w:rFonts w:ascii="Calibri" w:hAnsi="Calibri" w:eastAsia="宋体" w:cs="Calibri"/>
      <w:kern w:val="2"/>
      <w:sz w:val="28"/>
      <w:szCs w:val="24"/>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qFormat/>
    <w:uiPriority w:val="0"/>
  </w:style>
  <w:style w:type="paragraph" w:customStyle="1" w:styleId="15">
    <w:name w:val="UserStyle_9"/>
    <w:basedOn w:val="1"/>
    <w:link w:val="20"/>
    <w:qFormat/>
    <w:uiPriority w:val="0"/>
    <w:pPr>
      <w:widowControl/>
      <w:tabs>
        <w:tab w:val="left" w:pos="360"/>
      </w:tabs>
      <w:textAlignment w:val="baseline"/>
    </w:pPr>
    <w:rPr>
      <w:rFonts w:ascii="Calibri" w:hAnsi="Calibri" w:eastAsia="仿宋_GB2312" w:cs="Times New Roman"/>
      <w:kern w:val="0"/>
      <w:sz w:val="32"/>
      <w:szCs w:val="20"/>
      <w:lang w:bidi="ar-SA"/>
    </w:rPr>
  </w:style>
  <w:style w:type="paragraph" w:customStyle="1" w:styleId="16">
    <w:name w:val="b-free-read-leaf"/>
    <w:basedOn w:val="1"/>
    <w:qFormat/>
    <w:uiPriority w:val="0"/>
    <w:pPr>
      <w:widowControl/>
      <w:spacing w:before="100" w:beforeAutospacing="1" w:after="100" w:afterAutospacing="1"/>
      <w:jc w:val="left"/>
    </w:pPr>
    <w:rPr>
      <w:rFonts w:ascii="宋体" w:hAnsi="宋体" w:eastAsia="宋体" w:cs="宋体"/>
      <w:kern w:val="0"/>
      <w:sz w:val="24"/>
      <w:szCs w:val="24"/>
      <w:lang w:bidi="ar-SA"/>
    </w:rPr>
  </w:style>
  <w:style w:type="character" w:customStyle="1" w:styleId="17">
    <w:name w:val=" Char Char1"/>
    <w:basedOn w:val="13"/>
    <w:link w:val="5"/>
    <w:qFormat/>
    <w:uiPriority w:val="0"/>
    <w:rPr>
      <w:rFonts w:ascii="仿宋_GB2312" w:hAnsi="Times New Roman" w:eastAsia="仿宋_GB2312" w:cs="Times New Roman"/>
      <w:kern w:val="2"/>
      <w:sz w:val="32"/>
      <w:szCs w:val="24"/>
      <w:lang w:bidi="ar-SA"/>
    </w:rPr>
  </w:style>
  <w:style w:type="character" w:customStyle="1" w:styleId="18">
    <w:name w:val=" Char Char2"/>
    <w:basedOn w:val="13"/>
    <w:link w:val="7"/>
    <w:semiHidden/>
    <w:qFormat/>
    <w:uiPriority w:val="99"/>
    <w:rPr>
      <w:rFonts w:ascii="Calibri" w:hAnsi="Calibri" w:eastAsia="宋体" w:cs="Mongolian Baiti"/>
      <w:kern w:val="2"/>
      <w:sz w:val="18"/>
      <w:szCs w:val="22"/>
    </w:rPr>
  </w:style>
  <w:style w:type="character" w:customStyle="1" w:styleId="19">
    <w:name w:val=" Char Char"/>
    <w:basedOn w:val="13"/>
    <w:link w:val="8"/>
    <w:semiHidden/>
    <w:qFormat/>
    <w:uiPriority w:val="99"/>
    <w:rPr>
      <w:rFonts w:ascii="Calibri" w:hAnsi="Calibri" w:eastAsia="宋体" w:cs="Mongolian Baiti"/>
      <w:kern w:val="2"/>
      <w:sz w:val="18"/>
      <w:szCs w:val="22"/>
    </w:rPr>
  </w:style>
  <w:style w:type="character" w:customStyle="1" w:styleId="20">
    <w:name w:val="NormalCharacter"/>
    <w:link w:val="15"/>
    <w:qFormat/>
    <w:uiPriority w:val="0"/>
    <w:rPr>
      <w:rFonts w:ascii="Calibri" w:hAnsi="Calibri" w:eastAsia="仿宋_GB2312" w:cs="Times New Roman"/>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22</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哈斯高娃:通知发起人</cp:lastModifiedBy>
  <cp:lastPrinted>2026-02-14T13:12:00Z</cp:lastPrinted>
  <dcterms:modified xsi:type="dcterms:W3CDTF">2026-03-26T02:41:05Z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