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内蒙古自治区人民政府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关于设置呼和浩特职业技术大学的通知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2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月，教育部印发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《关于同意设置呼和浩特职业技术大学的函》（教发函〔2025〕284号），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同意以呼和浩特职业学院为基础设立呼和浩特职业技术大学，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学校标识码为4115012670，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同时撤销呼和浩特职业学院建制。为加快推进呼和浩特职业技术大学设置与高质量发展，现将有关事项通知如下。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一、呼和浩特职业技术大学为公办本科层次职业学校，实施本科、专科、国际教育和继续教育。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二、学校全日制在校生规模暂定为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15000人。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呼和浩特职业技术大学由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自治区与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呼和浩特市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共建共管、以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呼和浩特市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管理为主，业务归口自治区教育厅管理，经费投入由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级财政参照自治区本科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lang w:eastAsia="zh-CN"/>
        </w:rPr>
        <w:t>和职业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</w:rPr>
        <w:t>院校有关政策规定给予保障。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呼和浩特市要加强对呼和浩特职业技术大学的领导，落实党委领导下的校长负责制，加强学校党组织和干部队伍建设，优化协同高效配置机构编制，持续改善办学条件，加大经费投入力度，完善协同育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五、自治区教育厅要加强对呼和浩特职业技术大学的业务管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理，指导学校科学定位、内涵发展，进一步优化本、专科教育结构和学科专业布局，支持学校增强学科专业和科研能力等内涵建设。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自治区有关部门要在经费投入、专业人才引进、优势学科培育、科研项目申报、基础设施建设等方面给予支持。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七、呼和浩特职业技术大学要按照教育部、自治区党委和政府有关要求，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切实加强党的建设，全面贯彻党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国家的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教育方针，紧紧围绕铸牢中华民族共同体意识工作主线，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坚持社会主义办学方向，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坚持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职业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教育办学定位，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立德树人根本任务，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强化与产业发展、技术变革、人才需求的紧密对接，着力培养高素质技术技能人才，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建成高水平职业技术大学，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为内蒙古经济社会高质量发展作出更大贡献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after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1340" w:rightChars="638"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2025年6月27日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701" w:left="1474" w:header="851" w:footer="1304" w:gutter="0"/>
          <w:paperSrc/>
          <w:pgNumType w:fmt="numberInDash"/>
          <w:cols w:space="720" w:num="1"/>
          <w:titlePg/>
          <w:rtlGutter w:val="0"/>
          <w:docGrid w:type="lines" w:linePitch="312" w:charSpace="0"/>
        </w:sectPr>
      </w:pPr>
    </w:p>
    <w:bookmarkEnd w:id="2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400" w:lineRule="exact"/>
        <w:ind w:left="210" w:leftChars="100" w:right="210" w:rightChars="100" w:firstLine="56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315" w:leftChars="150" w:right="315" w:rightChars="15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抄送：自治区党委各部门，内蒙古军区，武警内蒙古总队。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153" w:leftChars="549" w:right="315" w:rightChars="15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自治区人大常委会办公厅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，自治区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政协办公厅，自治区监委，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高级人民法院，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自治区人民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315" w:leftChars="150" w:right="315" w:rightChars="150" w:firstLine="840" w:firstLineChars="400"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8354060</wp:posOffset>
                </wp:positionV>
                <wp:extent cx="1943100" cy="8915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</w:pPr>
                            <w:bookmarkStart w:id="1" w:name="二维条码"/>
                            <w:bookmarkEnd w:id="1"/>
                            <w: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38630" cy="464185"/>
                                  <wp:effectExtent l="0" t="0" r="13970" b="12065"/>
                                  <wp:docPr id="2" name="图片 11" descr="C:\Users\Administrator\Desktop\NZZ102.jpgNZZ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1" descr="C:\Users\Administrator\Desktop\NZZ102.jpgNZZ1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863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7.75pt;margin-top:657.8pt;height:70.2pt;width:153pt;mso-position-horizontal-relative:margin;mso-position-vertical-relative:margin;mso-wrap-style:none;z-index:251658240;mso-width-relative:page;mso-height-relative:page;" fillcolor="#FFFFFF" filled="t" stroked="f" coordsize="21600,21600" o:gfxdata="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/b3lYdoA&#10;AAANAQAADwAAAAAAAAABACAAAAAiAAAAZHJzL2Rvd25yZXYueG1sUEsBAhQAFAAAAAgAh07iQO3k&#10;BQ6rAQAATgMAAA4AAAAAAAAAAQAgAAAAKQEAAGRycy9lMm9Eb2MueG1sUEsFBgAAAAAGAAYAWQEA&#10;AEY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</w:pPr>
                      <w:bookmarkStart w:id="1" w:name="二维条码"/>
                      <w:bookmarkEnd w:id="1"/>
                      <w: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  <w:drawing>
                          <wp:inline distT="0" distB="0" distL="114300" distR="114300">
                            <wp:extent cx="1738630" cy="464185"/>
                            <wp:effectExtent l="0" t="0" r="13970" b="12065"/>
                            <wp:docPr id="2" name="图片 11" descr="C:\Users\Administrator\Desktop\NZZ102.jpgNZZ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1" descr="C:\Users\Administrator\Desktop\NZZ102.jpgNZZ1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863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各民主党派区委会，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各人民团体，新闻单位。</w:t>
      </w:r>
      <w:bookmarkStart w:id="0" w:name="印章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B14F5"/>
    <w:multiLevelType w:val="multilevel"/>
    <w:tmpl w:val="EB4B14F5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nothing"/>
      <w:lvlText w:val="%1.%2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isLgl/>
      <w:suff w:val="nothing"/>
      <w:lvlText w:val="%1.%2.%3 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 "/>
      <w:lvlJc w:val="left"/>
      <w:pPr>
        <w:tabs>
          <w:tab w:val="left" w:pos="420"/>
        </w:tabs>
        <w:ind w:left="115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 "/>
      <w:lvlJc w:val="left"/>
      <w:pPr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 "/>
      <w:lvlJc w:val="left"/>
      <w:pPr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 "/>
      <w:lvlJc w:val="left"/>
      <w:pPr>
        <w:ind w:left="1583" w:hanging="1583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31A556A"/>
    <w:rsid w:val="04553DE4"/>
    <w:rsid w:val="0A1149A8"/>
    <w:rsid w:val="130B07C7"/>
    <w:rsid w:val="1D0F6978"/>
    <w:rsid w:val="217D23BA"/>
    <w:rsid w:val="22B64228"/>
    <w:rsid w:val="27355263"/>
    <w:rsid w:val="27E04077"/>
    <w:rsid w:val="286F5DA8"/>
    <w:rsid w:val="29255FCE"/>
    <w:rsid w:val="29340AB0"/>
    <w:rsid w:val="2F7B53C5"/>
    <w:rsid w:val="36193767"/>
    <w:rsid w:val="3D15655F"/>
    <w:rsid w:val="3E8003A9"/>
    <w:rsid w:val="44F10C56"/>
    <w:rsid w:val="47655ABC"/>
    <w:rsid w:val="4FD33F1F"/>
    <w:rsid w:val="568723F4"/>
    <w:rsid w:val="5F6F182C"/>
    <w:rsid w:val="5FC47C57"/>
    <w:rsid w:val="612A5090"/>
    <w:rsid w:val="62593EFD"/>
    <w:rsid w:val="67C742AE"/>
    <w:rsid w:val="68C13D1E"/>
    <w:rsid w:val="69AA7AA3"/>
    <w:rsid w:val="6ADE316A"/>
    <w:rsid w:val="71BD1ADB"/>
    <w:rsid w:val="76167F2F"/>
    <w:rsid w:val="76240541"/>
    <w:rsid w:val="7801694A"/>
    <w:rsid w:val="7C7734A3"/>
    <w:rsid w:val="7D1850A2"/>
    <w:rsid w:val="7D705487"/>
    <w:rsid w:val="FE5E852C"/>
    <w:rsid w:val="FEFBBAC8"/>
    <w:rsid w:val="FF9FA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numPr>
        <w:ilvl w:val="2"/>
        <w:numId w:val="1"/>
      </w:numPr>
      <w:adjustRightInd w:val="0"/>
      <w:spacing w:beforeAutospacing="0" w:afterAutospacing="0"/>
      <w:ind w:firstLine="0" w:firstLineChars="0"/>
      <w:jc w:val="both"/>
      <w:outlineLvl w:val="2"/>
    </w:pPr>
    <w:rPr>
      <w:rFonts w:hint="eastAsia" w:ascii="Times New Roman" w:hAnsi="Times New Roman" w:eastAsia="宋体" w:cs="Times New Roman"/>
      <w:b/>
      <w:szCs w:val="27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ind w:left="0" w:leftChars="0" w:firstLine="560"/>
    </w:pPr>
    <w:rPr>
      <w:rFonts w:hint="eastAsi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paragraph" w:customStyle="1" w:styleId="11">
    <w:name w:val="无间隔1"/>
    <w:next w:val="5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21"/>
      <w:szCs w:val="32"/>
      <w:lang w:val="en-US" w:eastAsia="zh-CN" w:bidi="ar-SA"/>
    </w:rPr>
  </w:style>
  <w:style w:type="paragraph" w:customStyle="1" w:styleId="12">
    <w:name w:val="正文样式"/>
    <w:basedOn w:val="1"/>
    <w:qFormat/>
    <w:uiPriority w:val="0"/>
    <w:pPr>
      <w:spacing w:line="360" w:lineRule="auto"/>
      <w:ind w:firstLine="600" w:firstLineChars="200"/>
    </w:pPr>
    <w:rPr>
      <w:rFonts w:ascii="Times New Roman" w:hAnsi="Times New Roman" w:eastAsia="仿宋_GB2312" w:cs="Times New Roman"/>
      <w:sz w:val="30"/>
      <w:szCs w:val="30"/>
    </w:rPr>
  </w:style>
  <w:style w:type="character" w:customStyle="1" w:styleId="13">
    <w:name w:val="页脚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6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3</Pages>
  <Words>851</Words>
  <Characters>881</Characters>
  <Lines>1</Lines>
  <Paragraphs>1</Paragraphs>
  <TotalTime>6</TotalTime>
  <ScaleCrop>false</ScaleCrop>
  <LinksUpToDate>false</LinksUpToDate>
  <CharactersWithSpaces>881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哈斯高娃:通知发起人</cp:lastModifiedBy>
  <dcterms:modified xsi:type="dcterms:W3CDTF">2025-07-03T07:33:15Z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