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/>
        <w:bidi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文号"/>
      <w:bookmarkEnd w:id="0"/>
      <w:bookmarkStart w:id="1" w:name="标题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关于印发《内蒙古自治区着力稳定房地产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市场的若干措施》的通知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内政办发〔2026〕1</w:t>
      </w:r>
      <w:r>
        <w:rPr>
          <w:rFonts w:hint="eastAsia" w:ascii="仿宋_GB2312" w:hAnsi="华文仿宋" w:eastAsia="仿宋_GB2312"/>
          <w:sz w:val="32"/>
          <w:lang w:val="en-US" w:eastAsia="zh-CN"/>
        </w:rPr>
        <w:t>9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</w:rPr>
      </w:pPr>
      <w:bookmarkStart w:id="2" w:name="OLE_LINK1"/>
      <w:r>
        <w:rPr>
          <w:rFonts w:hint="eastAsia" w:ascii="仿宋" w:hAnsi="仿宋" w:eastAsia="仿宋" w:cs="仿宋"/>
          <w:sz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仿宋" w:hAnsi="仿宋" w:eastAsia="仿宋" w:cs="仿宋"/>
          <w:sz w:val="32"/>
        </w:rPr>
        <w:t>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2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经自治区人民政府同意，现将《内蒙古自治区着力稳定房地产市场的若干措施》印发给你们，请结合实际认真贯彻落实。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2026年5月27日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（此件公开发布）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00" w:lineRule="exact"/>
        <w:ind w:left="0" w:leftChars="0" w:firstLine="641" w:firstLineChars="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eastAsia="方正小标宋简体"/>
          <w:color w:val="auto"/>
          <w:sz w:val="44"/>
          <w:szCs w:val="44"/>
          <w:u w:val="none"/>
        </w:rPr>
        <w:t>内蒙古自治区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着力</w:t>
      </w:r>
      <w:r>
        <w:rPr>
          <w:rFonts w:hint="eastAsia" w:eastAsia="方正小标宋简体"/>
          <w:color w:val="auto"/>
          <w:sz w:val="44"/>
          <w:szCs w:val="44"/>
          <w:u w:val="none"/>
        </w:rPr>
        <w:t>稳定</w:t>
      </w:r>
      <w:r>
        <w:rPr>
          <w:rFonts w:eastAsia="方正小标宋简体"/>
          <w:color w:val="auto"/>
          <w:sz w:val="44"/>
          <w:szCs w:val="44"/>
          <w:u w:val="none"/>
        </w:rPr>
        <w:t>房地产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eastAsia="方正小标宋简体"/>
          <w:color w:val="auto"/>
          <w:sz w:val="44"/>
          <w:szCs w:val="44"/>
          <w:u w:val="none"/>
        </w:rPr>
        <w:t>市场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的</w:t>
      </w:r>
      <w:r>
        <w:rPr>
          <w:rFonts w:eastAsia="方正小标宋简体"/>
          <w:color w:val="auto"/>
          <w:sz w:val="44"/>
          <w:szCs w:val="44"/>
          <w:u w:val="none"/>
        </w:rPr>
        <w:t>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为贯彻党中央、国务院关于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着力稳定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房地产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市场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的决策部署，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紧紧围绕铸牢中华民族共同体意识工作主线，认真落实自治区党委“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1571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”工作部署，更好满足群众刚性和改善性住房需求，结合自治区实际，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提出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</w:rPr>
        <w:t>一、加大购房补贴支持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鼓励各地区安排资金对购买新建商品住房的人员发放购房补贴，补贴标准和方式由各地区结合实际自行确定。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u w:val="none"/>
          <w:lang w:eastAsia="zh-CN"/>
        </w:rPr>
        <w:t>提高住房公积金贷款额度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支持各地区结合实际将住房公积金贷款最高额度上浮不低于30%，高层次人才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多子女家庭购买商品住房可再上浮不低于20%。申请人家庭贷款额度不受账户余额限制。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优化住房公积金贷款条件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将住房公积金贷款套数认定范围调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整为购房地旗县（市、区）。使用住房公积金贷款购买商品住房的，最低首付款比例按20%执行。使用住房公积金和商业银行“组合贷”购买商品住房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u w:val="none"/>
          <w:lang w:val="en-US" w:eastAsia="zh-CN"/>
        </w:rPr>
        <w:t>的，最低首付款比例按15%执行。对符合条件的灵活就业人员使用住房公积金贷款购买商品住房的，可享受缴存单位职工同等权益。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拓宽住房公积金提取范围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支持各地区将契税、住宅专项维修资金、装修费、物业服务费、取暖费等住房消费支出纳入住房公积金提取范围。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允许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按月提取住房公积金偿还个人住房贷款。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盘活利用存量商品房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鼓励使用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保障性住房再贷款收购存量商品房用作保障性住房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青年公寓、职工宿舍等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符合条件的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保障性住房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给予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补助资金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专项债券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支持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。在房屋征收中，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优先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实施现房安置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，探索实施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房票安置，鼓励房票同城通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兑。允许符合条件的商业、办公用房改建为租赁住房，水、电、气价格按相关政策执行。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、支持居民“卖旧买新”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全面落实个人销售住房增值税减免和换购住房个人所得税退税政策。全面推行二手房“带押过户”政策。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七、支持人才购房需求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各地区要制定完善人才购房支持政策，加大分级分类补贴力度，探索实施“人才房票”，降低人才安居置业成本。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激发住房消费活力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积极创新住房消费场景，大力开展房屋促销活动，加强与家居家电、建材装修、数码产品等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消费品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联动促销。支持房企开展“进机关、进企业、进学校”团购活动。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eastAsia="zh-CN"/>
        </w:rPr>
        <w:t>九、加强</w:t>
      </w:r>
      <w:r>
        <w:rPr>
          <w:rFonts w:hint="eastAsia" w:ascii="方正黑体简体" w:hAnsi="方正黑体简体" w:eastAsia="方正黑体简体" w:cs="方正黑体简体"/>
          <w:strike w:val="0"/>
          <w:dstrike w:val="0"/>
          <w:color w:val="auto"/>
          <w:sz w:val="32"/>
          <w:szCs w:val="32"/>
          <w:u w:val="none"/>
          <w:lang w:val="en-US" w:eastAsia="zh-CN"/>
        </w:rPr>
        <w:t>在建</w:t>
      </w:r>
      <w:r>
        <w:rPr>
          <w:rFonts w:hint="eastAsia" w:ascii="方正黑体简体" w:hAnsi="方正黑体简体" w:eastAsia="方正黑体简体" w:cs="方正黑体简体"/>
          <w:strike w:val="0"/>
          <w:color w:val="auto"/>
          <w:sz w:val="32"/>
          <w:szCs w:val="32"/>
          <w:u w:val="none"/>
          <w:lang w:val="en-US" w:eastAsia="zh-CN"/>
        </w:rPr>
        <w:t>项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目资金支持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yellow"/>
          <w:u w:val="single"/>
          <w:vertAlign w:val="baseli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对存在停工风险、可能损害购房人利益的在建商品住房项目，经研判可提前支取一定数量的监管额度内预售资金，确保项目建成交付，但应按规定比例留存不动产首次登记节点的监管资金。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支持符合条件的房地产“白名单”项目接续使用融资贷款。加强现房销售试点项目激励，各地区可给予改革试点奖励和政策支持。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十、促进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</w:rPr>
        <w:t>土地高效利用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鼓励企业依法通过兼并重组、引入第三方资金等方式处置房地产闲置存量土地。对于因规划调整、企业经营困难或破产等原因无法全部开发利用的土地，经盟行政公署、市人民政府，旗县（市、区）人民政府批准，可按规定分割宗地。对于企业因经营需要不再继续开发或无法继续开发的部分，可分割宗地转让给其他经营主体开发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十一、优化项目规划设计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支持各地区出台鼓励性政策，在符合规划设计要求前提下，房地产开发项目可按照小于5%的比例配套商业建筑面积；可对住宅小区配套养老、托育、社区服务等基本保障型公共设施和邻里共享空间、底层架空、开敞式风雨连廊、挑高空间、阳台等公益性、共享型设施少计容、不计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各盟市要充分用好房地产市场调控自主权，按照“一城一策”原则，根据本地区实际制定具体落实措施。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304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bidi w:val="0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bidi w:val="0"/>
        <w:textAlignment w:val="auto"/>
        <w:rPr>
          <w:rFonts w:hint="eastAsia" w:ascii="仿宋" w:hAnsi="仿宋" w:eastAsia="仿宋" w:cs="仿宋"/>
        </w:rPr>
      </w:pPr>
    </w:p>
    <w:tbl>
      <w:tblPr>
        <w:tblStyle w:val="12"/>
        <w:tblW w:w="894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bidi w:val="0"/>
              <w:spacing w:line="400" w:lineRule="exact"/>
              <w:ind w:firstLine="280" w:firstLineChars="1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bidi w:val="0"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bidi w:val="0"/>
              <w:spacing w:line="400" w:lineRule="exact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bidi w:val="0"/>
              <w:ind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bookmarkStart w:id="3" w:name="成文日期"/>
      <w:bookmarkEnd w:id="3"/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4" w:name="二维条码"/>
                            <w:bookmarkEnd w:id="4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30530"/>
                                  <wp:effectExtent l="0" t="0" r="13335" b="7620"/>
                                  <wp:docPr id="2" name="图片 3" descr="20260529190927_2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60529190927_289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4" w:name="二维条码"/>
                      <w:bookmarkEnd w:id="4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30530"/>
                            <wp:effectExtent l="0" t="0" r="13335" b="7620"/>
                            <wp:docPr id="2" name="图片 3" descr="20260529190927_28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60529190927_289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3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7" w:type="default"/>
      <w:footerReference r:id="rId8" w:type="even"/>
      <w:pgSz w:w="11906" w:h="16838"/>
      <w:pgMar w:top="2041" w:right="1474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A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03F6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41AE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16D89"/>
    <w:rsid w:val="0022010B"/>
    <w:rsid w:val="00222BE8"/>
    <w:rsid w:val="00225BC5"/>
    <w:rsid w:val="00226765"/>
    <w:rsid w:val="002301CC"/>
    <w:rsid w:val="00230DF7"/>
    <w:rsid w:val="00232D9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36D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5A58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0EBA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5D0"/>
    <w:rsid w:val="004C1EC2"/>
    <w:rsid w:val="004C2B6E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C7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376A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3770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03FD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2B42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4C24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2776D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305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4B2C"/>
    <w:rsid w:val="00BA5DE0"/>
    <w:rsid w:val="00BA69BB"/>
    <w:rsid w:val="00BA7956"/>
    <w:rsid w:val="00BA7B67"/>
    <w:rsid w:val="00BB143A"/>
    <w:rsid w:val="00BB63BE"/>
    <w:rsid w:val="00BB77ED"/>
    <w:rsid w:val="00BC07D9"/>
    <w:rsid w:val="00BC0F68"/>
    <w:rsid w:val="00BC4E10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38C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2E5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383C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65A7B9F"/>
    <w:rsid w:val="074D26E8"/>
    <w:rsid w:val="088445D6"/>
    <w:rsid w:val="0ACD69C7"/>
    <w:rsid w:val="10AA3895"/>
    <w:rsid w:val="110F26B1"/>
    <w:rsid w:val="13404ED0"/>
    <w:rsid w:val="15AD3632"/>
    <w:rsid w:val="17C25BF6"/>
    <w:rsid w:val="1A7D41CF"/>
    <w:rsid w:val="1DE74B55"/>
    <w:rsid w:val="1FD3237E"/>
    <w:rsid w:val="1FFF1B41"/>
    <w:rsid w:val="21CE0EBF"/>
    <w:rsid w:val="24485B15"/>
    <w:rsid w:val="26EB2244"/>
    <w:rsid w:val="27EDE209"/>
    <w:rsid w:val="27FD0470"/>
    <w:rsid w:val="2DDEACD3"/>
    <w:rsid w:val="2E2F3D52"/>
    <w:rsid w:val="2F57397D"/>
    <w:rsid w:val="2F7F3169"/>
    <w:rsid w:val="2FFF7FA2"/>
    <w:rsid w:val="33FF9DA0"/>
    <w:rsid w:val="34854D87"/>
    <w:rsid w:val="39BE2381"/>
    <w:rsid w:val="3BDF852A"/>
    <w:rsid w:val="3E4D37B4"/>
    <w:rsid w:val="3EEAA191"/>
    <w:rsid w:val="3F7F1FEB"/>
    <w:rsid w:val="3FF390E4"/>
    <w:rsid w:val="4224574B"/>
    <w:rsid w:val="456E4695"/>
    <w:rsid w:val="46BDE749"/>
    <w:rsid w:val="471C605F"/>
    <w:rsid w:val="48E9042E"/>
    <w:rsid w:val="4A456A7E"/>
    <w:rsid w:val="4B7E08B8"/>
    <w:rsid w:val="4B835AD7"/>
    <w:rsid w:val="4BB12688"/>
    <w:rsid w:val="51650C56"/>
    <w:rsid w:val="57F30C50"/>
    <w:rsid w:val="58300DDB"/>
    <w:rsid w:val="5BAE3879"/>
    <w:rsid w:val="5BC740C1"/>
    <w:rsid w:val="5BF29CE7"/>
    <w:rsid w:val="5BF4A960"/>
    <w:rsid w:val="5BFEDE40"/>
    <w:rsid w:val="5BFFB7FE"/>
    <w:rsid w:val="5DF7547C"/>
    <w:rsid w:val="5DFFC8EC"/>
    <w:rsid w:val="5E1F9C9B"/>
    <w:rsid w:val="5F7722A4"/>
    <w:rsid w:val="5FFE36F4"/>
    <w:rsid w:val="619D5C96"/>
    <w:rsid w:val="61F3D462"/>
    <w:rsid w:val="64B86B45"/>
    <w:rsid w:val="662933E5"/>
    <w:rsid w:val="663E2F74"/>
    <w:rsid w:val="67FBED9E"/>
    <w:rsid w:val="698D6F36"/>
    <w:rsid w:val="6B998778"/>
    <w:rsid w:val="6BDF1000"/>
    <w:rsid w:val="6D356B87"/>
    <w:rsid w:val="6E5F627C"/>
    <w:rsid w:val="6EFD9660"/>
    <w:rsid w:val="6F2C465B"/>
    <w:rsid w:val="6FD9F2B9"/>
    <w:rsid w:val="700A0263"/>
    <w:rsid w:val="719F311C"/>
    <w:rsid w:val="71AF4495"/>
    <w:rsid w:val="74FB4C89"/>
    <w:rsid w:val="75F3E898"/>
    <w:rsid w:val="765B2857"/>
    <w:rsid w:val="76F350AC"/>
    <w:rsid w:val="76FBBEA4"/>
    <w:rsid w:val="77F07276"/>
    <w:rsid w:val="78EF1485"/>
    <w:rsid w:val="79E30EE8"/>
    <w:rsid w:val="7B9E3E72"/>
    <w:rsid w:val="7BFD6979"/>
    <w:rsid w:val="7C7F6860"/>
    <w:rsid w:val="7D164783"/>
    <w:rsid w:val="7E4FFE53"/>
    <w:rsid w:val="7E7FC8DF"/>
    <w:rsid w:val="7E960D71"/>
    <w:rsid w:val="7EFF849A"/>
    <w:rsid w:val="7FEC36EF"/>
    <w:rsid w:val="7FEFCAA9"/>
    <w:rsid w:val="7FF33CFD"/>
    <w:rsid w:val="7FF69DEC"/>
    <w:rsid w:val="7FFF37E4"/>
    <w:rsid w:val="7FFFAA76"/>
    <w:rsid w:val="7FFFD5A5"/>
    <w:rsid w:val="83B9C7D5"/>
    <w:rsid w:val="845F1A16"/>
    <w:rsid w:val="9F7E405E"/>
    <w:rsid w:val="A9B10492"/>
    <w:rsid w:val="ABFF8C87"/>
    <w:rsid w:val="AEFCBF82"/>
    <w:rsid w:val="B5BBB47D"/>
    <w:rsid w:val="B7FEAF4B"/>
    <w:rsid w:val="B9FF7E53"/>
    <w:rsid w:val="BEDFD6FD"/>
    <w:rsid w:val="BEEF2BAC"/>
    <w:rsid w:val="BEF75D9A"/>
    <w:rsid w:val="BF79AACD"/>
    <w:rsid w:val="BFFBB6D7"/>
    <w:rsid w:val="BFFEC114"/>
    <w:rsid w:val="CEBF9BBC"/>
    <w:rsid w:val="CF710875"/>
    <w:rsid w:val="CFFE5921"/>
    <w:rsid w:val="D3E8832C"/>
    <w:rsid w:val="D67DDD4A"/>
    <w:rsid w:val="DBADB856"/>
    <w:rsid w:val="DF3FE330"/>
    <w:rsid w:val="DFEF4AF3"/>
    <w:rsid w:val="E2EF69A9"/>
    <w:rsid w:val="E77D035F"/>
    <w:rsid w:val="EB7B3E62"/>
    <w:rsid w:val="EB7D012C"/>
    <w:rsid w:val="EEEFA1F5"/>
    <w:rsid w:val="EF7BA349"/>
    <w:rsid w:val="EFDF51EE"/>
    <w:rsid w:val="EFDF8072"/>
    <w:rsid w:val="F5FDACD9"/>
    <w:rsid w:val="FABB663A"/>
    <w:rsid w:val="FD516A86"/>
    <w:rsid w:val="FDCCA04D"/>
    <w:rsid w:val="FF3BA3E0"/>
    <w:rsid w:val="FFCFD645"/>
    <w:rsid w:val="FFEF4207"/>
    <w:rsid w:val="FFF6E8D7"/>
    <w:rsid w:val="FFFC5A1F"/>
    <w:rsid w:val="FFFE11D6"/>
    <w:rsid w:val="FFFF4492"/>
    <w:rsid w:val="FFFF8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10">
    <w:name w:val="Title"/>
    <w:basedOn w:val="1"/>
    <w:next w:val="4"/>
    <w:qFormat/>
    <w:uiPriority w:val="0"/>
    <w:pPr>
      <w:spacing w:before="240" w:after="60"/>
      <w:ind w:left="640" w:leftChars="200"/>
      <w:outlineLvl w:val="0"/>
    </w:pPr>
    <w:rPr>
      <w:rFonts w:ascii="Arial" w:hAnsi="Arial" w:eastAsia="宋体" w:cs="Times New Roman"/>
      <w:b/>
      <w:szCs w:val="24"/>
      <w:lang w:bidi="ar-SA"/>
    </w:rPr>
  </w:style>
  <w:style w:type="paragraph" w:styleId="11">
    <w:name w:val="Body Text First Indent 2"/>
    <w:basedOn w:val="4"/>
    <w:next w:val="1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page number"/>
    <w:basedOn w:val="14"/>
    <w:uiPriority w:val="0"/>
  </w:style>
  <w:style w:type="paragraph" w:customStyle="1" w:styleId="16">
    <w:name w:val="BodyText1I2"/>
    <w:basedOn w:val="17"/>
    <w:qFormat/>
    <w:uiPriority w:val="0"/>
    <w:pPr>
      <w:ind w:left="0" w:firstLine="420"/>
    </w:pPr>
    <w:rPr>
      <w:rFonts w:ascii="仿宋_GB2312"/>
    </w:rPr>
  </w:style>
  <w:style w:type="paragraph" w:customStyle="1" w:styleId="17">
    <w:name w:val="BodyTextIndent"/>
    <w:basedOn w:val="1"/>
    <w:next w:val="1"/>
    <w:qFormat/>
    <w:uiPriority w:val="0"/>
    <w:pPr>
      <w:spacing w:after="120"/>
      <w:ind w:left="420"/>
    </w:pPr>
    <w:rPr>
      <w:rFonts w:ascii="Calibri" w:hAnsi="Calibri" w:eastAsia="宋体" w:cs="Times New Roman"/>
      <w:szCs w:val="24"/>
      <w:lang w:bidi="ar-SA"/>
    </w:rPr>
  </w:style>
  <w:style w:type="paragraph" w:customStyle="1" w:styleId="18">
    <w:name w:val="正式文本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z w:val="24"/>
      <w:szCs w:val="22"/>
      <w:lang w:bidi="ar-SA"/>
    </w:rPr>
  </w:style>
  <w:style w:type="paragraph" w:customStyle="1" w:styleId="19">
    <w:name w:val="OfficeAI-版头-发文字号"/>
    <w:basedOn w:val="1"/>
    <w:qFormat/>
    <w:uiPriority w:val="0"/>
    <w:pPr>
      <w:jc w:val="center"/>
    </w:pPr>
    <w:rPr>
      <w:rFonts w:hint="eastAsia" w:ascii="仿宋_GB2312" w:hAnsi="仿宋_GB2312" w:eastAsia="仿宋_GB2312" w:cs="仿宋_GB2312"/>
      <w:color w:val="000000"/>
      <w:sz w:val="32"/>
      <w:szCs w:val="24"/>
      <w:lang w:bidi="ar-SA"/>
    </w:rPr>
  </w:style>
  <w:style w:type="paragraph" w:customStyle="1" w:styleId="20">
    <w:name w:val="_Style 6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  <w:style w:type="character" w:customStyle="1" w:styleId="21">
    <w:name w:val=" Char Char2"/>
    <w:basedOn w:val="14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2">
    <w:name w:val=" Char Char"/>
    <w:basedOn w:val="14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3">
    <w:name w:val=" Char Char1"/>
    <w:basedOn w:val="14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4">
    <w:name w:val="页眉 Char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Char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哈斯高娃:通知发起人</cp:lastModifiedBy>
  <dcterms:modified xsi:type="dcterms:W3CDTF">2026-06-02T07:00:41Z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