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标题"/>
      <w:bookmarkEnd w:id="0"/>
    </w:p>
    <w:p>
      <w:pPr>
        <w:adjustRightInd w:val="0"/>
        <w:snapToGrid w:val="0"/>
        <w:spacing w:line="520" w:lineRule="exact"/>
        <w:rPr>
          <w:rFonts w:hint="eastAsia"/>
          <w:sz w:val="44"/>
        </w:rPr>
      </w:pPr>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印发《内蒙古自治区促进民营建筑业企业</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持续健康发展的若干措施》的通知</w:t>
      </w:r>
    </w:p>
    <w:p>
      <w:pPr>
        <w:pStyle w:val="2"/>
        <w:rPr>
          <w:rFonts w:hint="eastAsia"/>
          <w:lang w:eastAsia="zh-CN"/>
        </w:rPr>
      </w:pPr>
    </w:p>
    <w:p>
      <w:pPr>
        <w:pStyle w:val="2"/>
        <w:jc w:val="center"/>
        <w:rPr>
          <w:rFonts w:hint="eastAsia"/>
          <w:lang w:eastAsia="zh-CN"/>
        </w:rPr>
      </w:pPr>
      <w:r>
        <w:rPr>
          <w:rFonts w:hint="eastAsia" w:ascii="仿宋_GB2312" w:hAnsi="华文仿宋" w:eastAsia="仿宋"/>
          <w:b w:val="0"/>
          <w:i w:val="0"/>
          <w:sz w:val="32"/>
          <w:lang w:eastAsia="zh-CN"/>
        </w:rPr>
        <w:t>内政办发〔2026〕1</w:t>
      </w:r>
      <w:r>
        <w:rPr>
          <w:rFonts w:hint="eastAsia" w:ascii="仿宋_GB2312" w:hAnsi="华文仿宋" w:eastAsia="仿宋"/>
          <w:b w:val="0"/>
          <w:i w:val="0"/>
          <w:sz w:val="32"/>
          <w:lang w:val="en-US" w:eastAsia="zh-CN"/>
        </w:rPr>
        <w:t>7</w:t>
      </w:r>
      <w:r>
        <w:rPr>
          <w:rFonts w:hint="eastAsia" w:ascii="仿宋_GB2312" w:hAnsi="华文仿宋" w:eastAsia="仿宋"/>
          <w:b w:val="0"/>
          <w:i w:val="0"/>
          <w:sz w:val="32"/>
          <w:lang w:eastAsia="zh-CN"/>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简体" w:hAnsi="方正仿宋简体" w:eastAsia="方正仿宋简体" w:cs="方正仿宋简体"/>
          <w:sz w:val="30"/>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sz w:val="32"/>
        </w:rPr>
      </w:pPr>
      <w:bookmarkStart w:id="2" w:name="_GoBack"/>
      <w:bookmarkStart w:id="1" w:name="OLE_LINK1"/>
      <w:r>
        <w:rPr>
          <w:rFonts w:hint="eastAsia" w:ascii="仿宋" w:hAnsi="仿宋" w:eastAsia="仿宋" w:cs="仿宋"/>
          <w:sz w:val="32"/>
          <w:lang w:eastAsia="zh-CN"/>
        </w:rPr>
        <w:t>各盟行政公署、市人民政府，自治区各委、办、厅、局，各大企业、事业单位</w:t>
      </w:r>
      <w:r>
        <w:rPr>
          <w:rFonts w:hint="eastAsia" w:ascii="仿宋" w:hAnsi="仿宋" w:eastAsia="仿宋" w:cs="仿宋"/>
          <w:sz w:val="32"/>
        </w:rPr>
        <w:t>：</w:t>
      </w:r>
    </w:p>
    <w:p>
      <w:pPr>
        <w:keepNext w:val="0"/>
        <w:keepLines w:val="0"/>
        <w:pageBreakBefore w:val="0"/>
        <w:widowControl w:val="0"/>
        <w:kinsoku/>
        <w:wordWrap/>
        <w:overflowPunct/>
        <w:topLinePunct/>
        <w:autoSpaceDE/>
        <w:autoSpaceDN/>
        <w:bidi w:val="0"/>
        <w:adjustRightInd/>
        <w:snapToGrid/>
        <w:spacing w:line="320" w:lineRule="exact"/>
        <w:ind w:firstLine="64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经自治区人民政府同意，现将《内蒙古自治区促进民营建筑业企业持续健康发展的若干措施》印发给你们，请结合实际，认真贯彻落实。</w:t>
      </w:r>
    </w:p>
    <w:p>
      <w:pPr>
        <w:keepNext w:val="0"/>
        <w:keepLines w:val="0"/>
        <w:pageBreakBefore w:val="0"/>
        <w:widowControl w:val="0"/>
        <w:kinsoku/>
        <w:wordWrap/>
        <w:overflowPunct/>
        <w:topLinePunct/>
        <w:autoSpaceDE/>
        <w:autoSpaceDN/>
        <w:bidi w:val="0"/>
        <w:adjustRightInd/>
        <w:snapToGrid/>
        <w:spacing w:line="440" w:lineRule="exact"/>
        <w:ind w:firstLine="640"/>
        <w:textAlignment w:val="auto"/>
        <w:rPr>
          <w:rFonts w:hint="eastAsia" w:ascii="仿宋" w:hAnsi="仿宋" w:eastAsia="仿宋" w:cs="仿宋"/>
          <w:sz w:val="32"/>
          <w:lang w:val="en-US" w:eastAsia="zh-CN"/>
        </w:rPr>
      </w:pPr>
    </w:p>
    <w:p>
      <w:pPr>
        <w:pStyle w:val="2"/>
        <w:keepNext w:val="0"/>
        <w:keepLines w:val="0"/>
        <w:pageBreakBefore w:val="0"/>
        <w:widowControl w:val="0"/>
        <w:kinsoku/>
        <w:wordWrap/>
        <w:overflowPunct/>
        <w:topLinePunct/>
        <w:autoSpaceDE/>
        <w:autoSpaceDN/>
        <w:bidi w:val="0"/>
        <w:adjustRightInd/>
        <w:snapToGrid/>
        <w:spacing w:line="420" w:lineRule="exact"/>
        <w:ind w:firstLine="40"/>
        <w:textAlignment w:val="auto"/>
        <w:rPr>
          <w:rFonts w:hint="eastAsia" w:ascii="仿宋" w:hAnsi="仿宋" w:eastAsia="仿宋" w:cs="仿宋"/>
          <w:sz w:val="32"/>
          <w:lang w:val="en-US" w:eastAsia="zh-CN"/>
        </w:rPr>
      </w:pPr>
    </w:p>
    <w:p>
      <w:pPr>
        <w:pStyle w:val="2"/>
        <w:keepNext w:val="0"/>
        <w:keepLines w:val="0"/>
        <w:pageBreakBefore w:val="0"/>
        <w:widowControl w:val="0"/>
        <w:kinsoku/>
        <w:wordWrap/>
        <w:overflowPunct/>
        <w:topLinePunct/>
        <w:autoSpaceDE/>
        <w:autoSpaceDN/>
        <w:bidi w:val="0"/>
        <w:adjustRightInd/>
        <w:snapToGrid/>
        <w:spacing w:line="420" w:lineRule="exact"/>
        <w:ind w:firstLine="40"/>
        <w:textAlignment w:val="auto"/>
        <w:rPr>
          <w:rFonts w:hint="eastAsia" w:ascii="仿宋" w:hAnsi="仿宋" w:eastAsia="仿宋" w:cs="仿宋"/>
          <w:sz w:val="32"/>
          <w:lang w:val="en-US" w:eastAsia="zh-CN"/>
        </w:rPr>
      </w:pPr>
    </w:p>
    <w:p>
      <w:pPr>
        <w:pStyle w:val="2"/>
        <w:keepNext w:val="0"/>
        <w:keepLines w:val="0"/>
        <w:pageBreakBefore w:val="0"/>
        <w:widowControl w:val="0"/>
        <w:kinsoku/>
        <w:wordWrap/>
        <w:overflowPunct/>
        <w:topLinePunct/>
        <w:autoSpaceDE/>
        <w:autoSpaceDN/>
        <w:bidi w:val="0"/>
        <w:adjustRightInd/>
        <w:snapToGrid/>
        <w:spacing w:line="420" w:lineRule="exact"/>
        <w:ind w:firstLine="40"/>
        <w:textAlignment w:val="auto"/>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adjustRightInd/>
        <w:snapToGrid/>
        <w:spacing w:line="500" w:lineRule="exact"/>
        <w:ind w:right="1176" w:rightChars="560" w:firstLine="5120" w:firstLineChars="16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2026年5月14日</w:t>
      </w:r>
    </w:p>
    <w:p>
      <w:pPr>
        <w:keepNext w:val="0"/>
        <w:keepLines w:val="0"/>
        <w:pageBreakBefore w:val="0"/>
        <w:widowControl w:val="0"/>
        <w:kinsoku/>
        <w:wordWrap/>
        <w:overflowPunct/>
        <w:topLinePunct/>
        <w:autoSpaceDE/>
        <w:autoSpaceDN/>
        <w:bidi w:val="0"/>
        <w:adjustRightInd/>
        <w:snapToGrid/>
        <w:spacing w:line="500" w:lineRule="exact"/>
        <w:ind w:firstLine="85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（此件公开发布）</w:t>
      </w:r>
    </w:p>
    <w:p>
      <w:pPr>
        <w:pStyle w:val="2"/>
        <w:rPr>
          <w:rFonts w:hint="eastAsia" w:ascii="仿宋" w:hAnsi="仿宋" w:eastAsia="仿宋" w:cs="仿宋"/>
          <w:sz w:val="32"/>
          <w:lang w:val="en-US" w:eastAsia="zh-CN"/>
        </w:rPr>
      </w:pPr>
    </w:p>
    <w:p>
      <w:pPr>
        <w:pStyle w:val="2"/>
        <w:rPr>
          <w:rFonts w:hint="eastAsia" w:ascii="仿宋" w:hAnsi="仿宋" w:eastAsia="仿宋" w:cs="仿宋"/>
          <w:sz w:val="32"/>
          <w:lang w:val="en-US" w:eastAsia="zh-CN"/>
        </w:rPr>
      </w:pPr>
    </w:p>
    <w:p>
      <w:pPr>
        <w:pStyle w:val="2"/>
        <w:rPr>
          <w:rFonts w:hint="eastAsia" w:ascii="仿宋" w:hAnsi="仿宋" w:eastAsia="仿宋" w:cs="仿宋"/>
          <w:sz w:val="32"/>
          <w:lang w:val="en-US" w:eastAsia="zh-CN"/>
        </w:rPr>
      </w:pPr>
    </w:p>
    <w:p>
      <w:pPr>
        <w:pStyle w:val="2"/>
        <w:rPr>
          <w:rFonts w:hint="eastAsia" w:ascii="仿宋" w:hAnsi="仿宋" w:eastAsia="仿宋" w:cs="仿宋"/>
          <w:sz w:val="32"/>
          <w:lang w:val="en-US" w:eastAsia="zh-CN"/>
        </w:rPr>
      </w:pPr>
    </w:p>
    <w:p>
      <w:pPr>
        <w:keepNext w:val="0"/>
        <w:keepLines w:val="0"/>
        <w:pageBreakBefore w:val="0"/>
        <w:widowControl w:val="0"/>
        <w:kinsoku/>
        <w:wordWrap/>
        <w:topLinePunct w:val="0"/>
        <w:bidi w:val="0"/>
        <w:adjustRightInd/>
        <w:snapToGrid/>
        <w:spacing w:line="580" w:lineRule="exact"/>
        <w:jc w:val="center"/>
        <w:textAlignment w:val="auto"/>
        <w:rPr>
          <w:rFonts w:hint="eastAsia" w:ascii="方正小标宋简体" w:hAnsi="黑体" w:eastAsia="方正小标宋简体" w:cs="黑体"/>
          <w:color w:val="auto"/>
          <w:sz w:val="44"/>
          <w:szCs w:val="44"/>
          <w:lang w:val="en-US" w:eastAsia="zh-CN"/>
        </w:rPr>
      </w:pPr>
    </w:p>
    <w:p>
      <w:pPr>
        <w:keepNext w:val="0"/>
        <w:keepLines w:val="0"/>
        <w:pageBreakBefore w:val="0"/>
        <w:widowControl w:val="0"/>
        <w:kinsoku/>
        <w:wordWrap/>
        <w:topLinePunct w:val="0"/>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内蒙古自治区</w:t>
      </w:r>
      <w:r>
        <w:rPr>
          <w:rFonts w:hint="eastAsia" w:ascii="方正小标宋_GBK" w:hAnsi="方正小标宋_GBK" w:eastAsia="方正小标宋_GBK" w:cs="方正小标宋_GBK"/>
          <w:color w:val="auto"/>
          <w:sz w:val="44"/>
          <w:szCs w:val="44"/>
        </w:rPr>
        <w:t>促进民营建筑业企业</w:t>
      </w:r>
    </w:p>
    <w:p>
      <w:pPr>
        <w:keepNext w:val="0"/>
        <w:keepLines w:val="0"/>
        <w:pageBreakBefore w:val="0"/>
        <w:widowControl w:val="0"/>
        <w:kinsoku/>
        <w:wordWrap/>
        <w:topLinePunct w:val="0"/>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持续健康发展的若干措施</w:t>
      </w:r>
    </w:p>
    <w:p>
      <w:pPr>
        <w:pStyle w:val="7"/>
        <w:keepNext w:val="0"/>
        <w:keepLines w:val="0"/>
        <w:pageBreakBefore w:val="0"/>
        <w:widowControl w:val="0"/>
        <w:kinsoku/>
        <w:wordWrap/>
        <w:topLinePunct w:val="0"/>
        <w:bidi w:val="0"/>
        <w:adjustRightInd/>
        <w:snapToGrid/>
        <w:spacing w:after="0" w:line="580" w:lineRule="exact"/>
        <w:jc w:val="center"/>
        <w:textAlignment w:val="auto"/>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topLinePunct/>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认真落实自治区党委“</w:t>
      </w:r>
      <w:r>
        <w:rPr>
          <w:rFonts w:hint="eastAsia" w:ascii="仿宋" w:hAnsi="仿宋" w:eastAsia="仿宋" w:cs="仿宋"/>
          <w:color w:val="auto"/>
          <w:sz w:val="32"/>
          <w:szCs w:val="32"/>
          <w:lang w:val="en-US" w:eastAsia="zh-CN"/>
        </w:rPr>
        <w:t>1571</w:t>
      </w:r>
      <w:r>
        <w:rPr>
          <w:rFonts w:hint="eastAsia" w:ascii="仿宋" w:hAnsi="仿宋" w:eastAsia="仿宋" w:cs="仿宋"/>
          <w:color w:val="auto"/>
          <w:sz w:val="32"/>
          <w:szCs w:val="32"/>
          <w:lang w:eastAsia="zh-CN"/>
        </w:rPr>
        <w:t>”工作部署，</w:t>
      </w:r>
      <w:r>
        <w:rPr>
          <w:rFonts w:hint="eastAsia" w:ascii="仿宋" w:hAnsi="仿宋" w:eastAsia="仿宋" w:cs="仿宋"/>
          <w:color w:val="auto"/>
          <w:sz w:val="32"/>
          <w:szCs w:val="32"/>
        </w:rPr>
        <w:t>以铸牢中华民族共同体意识为主线，</w:t>
      </w:r>
      <w:r>
        <w:rPr>
          <w:rFonts w:hint="eastAsia" w:ascii="仿宋" w:hAnsi="仿宋" w:eastAsia="仿宋" w:cs="仿宋"/>
          <w:color w:val="auto"/>
          <w:sz w:val="32"/>
          <w:szCs w:val="32"/>
          <w:lang w:eastAsia="zh-CN"/>
        </w:rPr>
        <w:t>全面优化发展环境，</w:t>
      </w:r>
      <w:r>
        <w:rPr>
          <w:rFonts w:hint="eastAsia" w:ascii="仿宋" w:hAnsi="仿宋" w:eastAsia="仿宋" w:cs="仿宋"/>
          <w:color w:val="auto"/>
          <w:sz w:val="32"/>
          <w:szCs w:val="32"/>
        </w:rPr>
        <w:t>切实解决民营建筑业企业</w:t>
      </w:r>
      <w:r>
        <w:rPr>
          <w:rFonts w:hint="eastAsia" w:ascii="仿宋" w:hAnsi="仿宋" w:eastAsia="仿宋" w:cs="仿宋"/>
          <w:color w:val="auto"/>
          <w:sz w:val="32"/>
          <w:szCs w:val="32"/>
          <w:lang w:eastAsia="zh-CN"/>
        </w:rPr>
        <w:t>承揽能力弱、创新不足、融资困难、人才短缺等</w:t>
      </w:r>
      <w:r>
        <w:rPr>
          <w:rFonts w:hint="eastAsia" w:ascii="仿宋" w:hAnsi="仿宋" w:eastAsia="仿宋" w:cs="仿宋"/>
          <w:color w:val="auto"/>
          <w:sz w:val="32"/>
          <w:szCs w:val="32"/>
        </w:rPr>
        <w:t>突出问题，促</w:t>
      </w:r>
      <w:r>
        <w:rPr>
          <w:rFonts w:hint="eastAsia" w:ascii="仿宋" w:hAnsi="仿宋" w:eastAsia="仿宋" w:cs="仿宋"/>
          <w:color w:val="auto"/>
          <w:spacing w:val="-6"/>
          <w:sz w:val="32"/>
          <w:szCs w:val="32"/>
        </w:rPr>
        <w:t>进</w:t>
      </w:r>
      <w:r>
        <w:rPr>
          <w:rFonts w:hint="eastAsia" w:ascii="仿宋" w:hAnsi="仿宋" w:eastAsia="仿宋" w:cs="仿宋"/>
          <w:color w:val="auto"/>
          <w:spacing w:val="-6"/>
          <w:sz w:val="32"/>
          <w:szCs w:val="32"/>
          <w:lang w:eastAsia="zh-CN"/>
        </w:rPr>
        <w:t>民营建筑业企业</w:t>
      </w:r>
      <w:r>
        <w:rPr>
          <w:rFonts w:hint="eastAsia" w:ascii="仿宋" w:hAnsi="仿宋" w:eastAsia="仿宋" w:cs="仿宋"/>
          <w:color w:val="auto"/>
          <w:spacing w:val="-6"/>
          <w:sz w:val="32"/>
          <w:szCs w:val="32"/>
        </w:rPr>
        <w:t>持续健康发展，</w:t>
      </w:r>
      <w:r>
        <w:rPr>
          <w:rFonts w:hint="eastAsia" w:ascii="仿宋" w:hAnsi="仿宋" w:eastAsia="仿宋" w:cs="仿宋"/>
          <w:color w:val="auto"/>
          <w:spacing w:val="-6"/>
          <w:sz w:val="32"/>
          <w:szCs w:val="32"/>
          <w:lang w:eastAsia="zh-CN"/>
        </w:rPr>
        <w:t>结合自治区实际，</w:t>
      </w:r>
      <w:r>
        <w:rPr>
          <w:rFonts w:hint="eastAsia" w:ascii="仿宋" w:hAnsi="仿宋" w:eastAsia="仿宋" w:cs="仿宋"/>
          <w:color w:val="auto"/>
          <w:spacing w:val="-6"/>
          <w:sz w:val="32"/>
          <w:szCs w:val="32"/>
        </w:rPr>
        <w:t>提出如下措施。</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一、支持民营建筑业企业承揽业务</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color w:val="auto"/>
          <w:sz w:val="32"/>
          <w:szCs w:val="32"/>
          <w:lang w:eastAsia="zh-CN"/>
        </w:rPr>
        <w:t>针对</w:t>
      </w:r>
      <w:r>
        <w:rPr>
          <w:rFonts w:hint="eastAsia" w:ascii="仿宋" w:hAnsi="仿宋" w:eastAsia="仿宋" w:cs="仿宋"/>
          <w:color w:val="auto"/>
          <w:sz w:val="32"/>
          <w:szCs w:val="32"/>
          <w:lang w:val="en-US" w:eastAsia="zh-CN"/>
        </w:rPr>
        <w:t>招标文件中对</w:t>
      </w:r>
      <w:r>
        <w:rPr>
          <w:rFonts w:hint="eastAsia" w:ascii="仿宋" w:hAnsi="仿宋" w:eastAsia="仿宋" w:cs="仿宋"/>
          <w:color w:val="auto"/>
          <w:sz w:val="32"/>
          <w:szCs w:val="32"/>
          <w:lang w:eastAsia="zh-CN"/>
        </w:rPr>
        <w:t>民营建筑业企业的所有制类型、资质等级、工程业绩等不合理的</w:t>
      </w:r>
      <w:r>
        <w:rPr>
          <w:rFonts w:hint="eastAsia" w:ascii="仿宋" w:hAnsi="仿宋" w:eastAsia="仿宋" w:cs="仿宋"/>
          <w:color w:val="auto"/>
          <w:sz w:val="32"/>
          <w:szCs w:val="32"/>
        </w:rPr>
        <w:t>限制条件</w:t>
      </w:r>
      <w:r>
        <w:rPr>
          <w:rFonts w:hint="eastAsia" w:ascii="仿宋" w:hAnsi="仿宋" w:eastAsia="仿宋" w:cs="仿宋"/>
          <w:color w:val="auto"/>
          <w:sz w:val="32"/>
          <w:szCs w:val="32"/>
          <w:lang w:eastAsia="zh-CN"/>
        </w:rPr>
        <w:t>，相关行业部门要聚焦招标文件公示环节加强监督检查，鼓励公众通过</w:t>
      </w:r>
      <w:r>
        <w:rPr>
          <w:rFonts w:hint="eastAsia" w:ascii="仿宋" w:hAnsi="仿宋" w:eastAsia="仿宋" w:cs="仿宋"/>
          <w:color w:val="auto"/>
          <w:sz w:val="32"/>
          <w:szCs w:val="32"/>
          <w:lang w:val="en-US" w:eastAsia="zh-CN"/>
        </w:rPr>
        <w:t>12345政务服务便民热线、异议投诉举报电话等渠道反映问题，一经核实立即责令改正。</w:t>
      </w:r>
      <w:r>
        <w:rPr>
          <w:rFonts w:hint="eastAsia" w:ascii="仿宋" w:hAnsi="仿宋" w:eastAsia="仿宋" w:cs="仿宋"/>
          <w:color w:val="auto"/>
          <w:sz w:val="32"/>
          <w:szCs w:val="32"/>
          <w:lang w:eastAsia="zh-CN"/>
        </w:rPr>
        <w:t>民营建筑业</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CN"/>
        </w:rPr>
        <w:t>可将</w:t>
      </w:r>
      <w:r>
        <w:rPr>
          <w:rFonts w:hint="eastAsia" w:ascii="仿宋" w:hAnsi="仿宋" w:eastAsia="仿宋" w:cs="仿宋"/>
          <w:color w:val="auto"/>
          <w:sz w:val="32"/>
          <w:szCs w:val="32"/>
        </w:rPr>
        <w:t>分期、分段验收合格</w:t>
      </w:r>
      <w:r>
        <w:rPr>
          <w:rFonts w:hint="eastAsia" w:ascii="仿宋" w:hAnsi="仿宋" w:eastAsia="仿宋" w:cs="仿宋"/>
          <w:color w:val="auto"/>
          <w:sz w:val="32"/>
          <w:szCs w:val="32"/>
          <w:lang w:eastAsia="zh-CN"/>
        </w:rPr>
        <w:t>的工程</w:t>
      </w:r>
      <w:r>
        <w:rPr>
          <w:rFonts w:hint="eastAsia" w:ascii="仿宋" w:hAnsi="仿宋" w:eastAsia="仿宋" w:cs="仿宋"/>
          <w:color w:val="auto"/>
          <w:sz w:val="32"/>
          <w:szCs w:val="32"/>
        </w:rPr>
        <w:t>作为有效业绩参与投标</w:t>
      </w:r>
      <w:r>
        <w:rPr>
          <w:rFonts w:hint="eastAsia" w:ascii="仿宋" w:hAnsi="仿宋" w:eastAsia="仿宋" w:cs="仿宋"/>
          <w:color w:val="auto"/>
          <w:sz w:val="32"/>
          <w:szCs w:val="32"/>
          <w:lang w:eastAsia="zh-CN"/>
        </w:rPr>
        <w:t>。鼓励民营建筑业企业</w:t>
      </w:r>
      <w:r>
        <w:rPr>
          <w:rFonts w:hint="eastAsia" w:ascii="仿宋" w:hAnsi="仿宋" w:eastAsia="仿宋" w:cs="仿宋"/>
          <w:color w:val="auto"/>
          <w:sz w:val="32"/>
          <w:szCs w:val="32"/>
        </w:rPr>
        <w:t>通过直接投资或者独资、控股、参股等方式参与</w:t>
      </w:r>
      <w:r>
        <w:rPr>
          <w:rFonts w:hint="eastAsia" w:ascii="仿宋" w:hAnsi="仿宋" w:eastAsia="仿宋" w:cs="仿宋"/>
          <w:color w:val="auto"/>
          <w:sz w:val="32"/>
          <w:szCs w:val="32"/>
          <w:lang w:val="en-US" w:eastAsia="zh-CN"/>
        </w:rPr>
        <w:t>基础设施和公用事业</w:t>
      </w:r>
      <w:r>
        <w:rPr>
          <w:rFonts w:hint="eastAsia" w:ascii="仿宋" w:hAnsi="仿宋" w:eastAsia="仿宋" w:cs="仿宋"/>
          <w:color w:val="auto"/>
          <w:sz w:val="32"/>
          <w:szCs w:val="32"/>
        </w:rPr>
        <w:t>特许经营项目</w:t>
      </w:r>
      <w:r>
        <w:rPr>
          <w:rFonts w:hint="eastAsia" w:ascii="仿宋" w:hAnsi="仿宋" w:eastAsia="仿宋" w:cs="仿宋"/>
          <w:color w:val="auto"/>
          <w:sz w:val="32"/>
          <w:szCs w:val="32"/>
          <w:lang w:val="en-US" w:eastAsia="zh-CN"/>
        </w:rPr>
        <w:t>。</w:t>
      </w:r>
      <w:r>
        <w:rPr>
          <w:rFonts w:hint="eastAsia" w:ascii="楷体" w:hAnsi="楷体" w:eastAsia="楷体" w:cs="楷体"/>
          <w:b w:val="0"/>
          <w:bCs w:val="0"/>
          <w:color w:val="auto"/>
          <w:kern w:val="2"/>
          <w:sz w:val="32"/>
          <w:szCs w:val="32"/>
          <w:lang w:eastAsia="zh-CN"/>
        </w:rPr>
        <w:t>（</w:t>
      </w:r>
      <w:r>
        <w:rPr>
          <w:rFonts w:hint="eastAsia" w:ascii="楷体" w:hAnsi="楷体" w:eastAsia="楷体" w:cs="楷体"/>
          <w:b w:val="0"/>
          <w:bCs w:val="0"/>
          <w:color w:val="auto"/>
          <w:kern w:val="2"/>
          <w:sz w:val="32"/>
          <w:szCs w:val="32"/>
          <w:lang w:val="en-US" w:eastAsia="zh-CN"/>
        </w:rPr>
        <w:t>自治区发展改革委、工业和信息化厅、财政厅、自然资源厅、生态环境厅、住房城乡建设厅、交通运输厅、水利厅、农牧厅、能源局、林草局，各盟行政公署、市人民政府按照职能职责分别负责，以下措施均需各盟行政公署、市人民政府落实，不再列出</w:t>
      </w:r>
      <w:r>
        <w:rPr>
          <w:rFonts w:hint="eastAsia" w:ascii="楷体" w:hAnsi="楷体" w:eastAsia="楷体" w:cs="楷体"/>
          <w:b w:val="0"/>
          <w:bCs w:val="0"/>
          <w:color w:val="auto"/>
          <w:kern w:val="2"/>
          <w:sz w:val="32"/>
          <w:szCs w:val="32"/>
          <w:lang w:eastAsia="zh-CN"/>
        </w:rPr>
        <w:t>）</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二、鼓励参与国有投资工程</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楷体" w:hAnsi="楷体" w:eastAsia="楷体" w:cs="楷体"/>
          <w:b w:val="0"/>
          <w:bCs w:val="0"/>
          <w:color w:val="auto"/>
          <w:kern w:val="2"/>
          <w:sz w:val="32"/>
          <w:szCs w:val="32"/>
          <w:lang w:val="en-US" w:eastAsia="zh-CN"/>
        </w:rPr>
      </w:pPr>
      <w:r>
        <w:rPr>
          <w:rFonts w:hint="eastAsia" w:ascii="仿宋" w:hAnsi="仿宋" w:eastAsia="仿宋" w:cs="仿宋"/>
          <w:color w:val="auto"/>
          <w:sz w:val="32"/>
          <w:szCs w:val="32"/>
          <w:lang w:eastAsia="zh-CN"/>
        </w:rPr>
        <w:t>认真落实《政府采购促进中小企业发展管理办法》（财库〔</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46号</w:t>
      </w:r>
      <w:r>
        <w:rPr>
          <w:rFonts w:hint="eastAsia" w:ascii="仿宋" w:hAnsi="仿宋" w:eastAsia="仿宋" w:cs="仿宋"/>
          <w:color w:val="auto"/>
          <w:sz w:val="32"/>
          <w:szCs w:val="32"/>
          <w:lang w:eastAsia="zh-CN"/>
        </w:rPr>
        <w:t>）有</w:t>
      </w:r>
      <w:r>
        <w:rPr>
          <w:rFonts w:hint="eastAsia" w:ascii="仿宋" w:hAnsi="仿宋" w:eastAsia="仿宋" w:cs="仿宋"/>
          <w:color w:val="auto"/>
          <w:spacing w:val="-17"/>
          <w:sz w:val="32"/>
          <w:szCs w:val="32"/>
          <w:lang w:eastAsia="zh-CN"/>
        </w:rPr>
        <w:t>关规定，国有投资</w:t>
      </w:r>
      <w:r>
        <w:rPr>
          <w:rFonts w:hint="eastAsia" w:ascii="仿宋" w:hAnsi="仿宋" w:eastAsia="仿宋" w:cs="仿宋"/>
          <w:color w:val="auto"/>
          <w:spacing w:val="-17"/>
          <w:sz w:val="32"/>
          <w:szCs w:val="32"/>
        </w:rPr>
        <w:t>工程造价在400万元</w:t>
      </w:r>
      <w:r>
        <w:rPr>
          <w:rFonts w:hint="eastAsia" w:ascii="仿宋" w:hAnsi="仿宋" w:eastAsia="仿宋" w:cs="仿宋"/>
          <w:color w:val="auto"/>
          <w:spacing w:val="-11"/>
          <w:sz w:val="32"/>
          <w:szCs w:val="32"/>
          <w:lang w:eastAsia="zh-CN"/>
        </w:rPr>
        <w:t>以下</w:t>
      </w:r>
      <w:r>
        <w:rPr>
          <w:rFonts w:hint="eastAsia" w:ascii="仿宋" w:hAnsi="仿宋" w:eastAsia="仿宋" w:cs="仿宋"/>
          <w:color w:val="auto"/>
          <w:sz w:val="32"/>
          <w:szCs w:val="32"/>
          <w:lang w:eastAsia="zh-CN"/>
        </w:rPr>
        <w:t>（不含</w:t>
      </w:r>
      <w:r>
        <w:rPr>
          <w:rFonts w:hint="eastAsia" w:ascii="仿宋" w:hAnsi="仿宋" w:eastAsia="仿宋" w:cs="仿宋"/>
          <w:color w:val="auto"/>
          <w:sz w:val="32"/>
          <w:szCs w:val="32"/>
          <w:lang w:val="en-US" w:eastAsia="zh-CN"/>
        </w:rPr>
        <w:t>本数</w:t>
      </w:r>
      <w:r>
        <w:rPr>
          <w:rFonts w:hint="eastAsia" w:ascii="仿宋" w:hAnsi="仿宋" w:eastAsia="仿宋" w:cs="仿宋"/>
          <w:color w:val="auto"/>
          <w:sz w:val="32"/>
          <w:szCs w:val="32"/>
          <w:lang w:eastAsia="zh-CN"/>
        </w:rPr>
        <w:t>）且</w:t>
      </w:r>
      <w:r>
        <w:rPr>
          <w:rFonts w:hint="eastAsia" w:ascii="仿宋" w:hAnsi="仿宋" w:eastAsia="仿宋" w:cs="仿宋"/>
          <w:color w:val="auto"/>
          <w:sz w:val="32"/>
          <w:szCs w:val="32"/>
        </w:rPr>
        <w:t>适宜由中小企业提供的</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，采购人</w:t>
      </w:r>
      <w:r>
        <w:rPr>
          <w:rFonts w:hint="eastAsia" w:ascii="仿宋" w:hAnsi="仿宋" w:eastAsia="仿宋" w:cs="仿宋"/>
          <w:color w:val="auto"/>
          <w:sz w:val="32"/>
          <w:szCs w:val="32"/>
          <w:lang w:eastAsia="zh-CN"/>
        </w:rPr>
        <w:t>可</w:t>
      </w:r>
      <w:r>
        <w:rPr>
          <w:rFonts w:hint="eastAsia" w:ascii="仿宋" w:hAnsi="仿宋" w:eastAsia="仿宋" w:cs="仿宋"/>
          <w:color w:val="auto"/>
          <w:sz w:val="32"/>
          <w:szCs w:val="32"/>
        </w:rPr>
        <w:t>专门面向中小企业采购；</w:t>
      </w:r>
      <w:r>
        <w:rPr>
          <w:rFonts w:hint="eastAsia" w:ascii="仿宋" w:hAnsi="仿宋" w:eastAsia="仿宋" w:cs="仿宋"/>
          <w:color w:val="auto"/>
          <w:sz w:val="32"/>
          <w:szCs w:val="32"/>
          <w:lang w:eastAsia="zh-CN"/>
        </w:rPr>
        <w:t>超过</w:t>
      </w:r>
      <w:r>
        <w:rPr>
          <w:rFonts w:hint="eastAsia" w:ascii="仿宋" w:hAnsi="仿宋" w:eastAsia="仿宋" w:cs="仿宋"/>
          <w:color w:val="auto"/>
          <w:sz w:val="32"/>
          <w:szCs w:val="32"/>
        </w:rPr>
        <w:t>400万元</w:t>
      </w:r>
      <w:r>
        <w:rPr>
          <w:rFonts w:hint="eastAsia" w:ascii="仿宋" w:hAnsi="仿宋" w:eastAsia="仿宋" w:cs="仿宋"/>
          <w:color w:val="auto"/>
          <w:sz w:val="32"/>
          <w:szCs w:val="32"/>
          <w:lang w:eastAsia="zh-CN"/>
        </w:rPr>
        <w:t>（含</w:t>
      </w:r>
      <w:r>
        <w:rPr>
          <w:rFonts w:hint="eastAsia" w:ascii="仿宋" w:hAnsi="仿宋" w:eastAsia="仿宋" w:cs="仿宋"/>
          <w:color w:val="auto"/>
          <w:sz w:val="32"/>
          <w:szCs w:val="32"/>
          <w:lang w:val="en-US" w:eastAsia="zh-CN"/>
        </w:rPr>
        <w:t>本数</w:t>
      </w:r>
      <w:r>
        <w:rPr>
          <w:rFonts w:hint="eastAsia" w:ascii="仿宋" w:hAnsi="仿宋" w:eastAsia="仿宋" w:cs="仿宋"/>
          <w:color w:val="auto"/>
          <w:sz w:val="32"/>
          <w:szCs w:val="32"/>
          <w:lang w:eastAsia="zh-CN"/>
        </w:rPr>
        <w:t>）且</w:t>
      </w:r>
      <w:r>
        <w:rPr>
          <w:rFonts w:hint="eastAsia" w:ascii="仿宋" w:hAnsi="仿宋" w:eastAsia="仿宋" w:cs="仿宋"/>
          <w:color w:val="auto"/>
          <w:sz w:val="32"/>
          <w:szCs w:val="32"/>
        </w:rPr>
        <w:t>适宜由中小企业提供的，</w:t>
      </w:r>
      <w:r>
        <w:rPr>
          <w:rFonts w:hint="eastAsia" w:ascii="仿宋" w:hAnsi="仿宋" w:eastAsia="仿宋" w:cs="仿宋"/>
          <w:color w:val="auto"/>
          <w:sz w:val="32"/>
          <w:szCs w:val="32"/>
          <w:lang w:eastAsia="zh-CN"/>
        </w:rPr>
        <w:t>可</w:t>
      </w:r>
      <w:r>
        <w:rPr>
          <w:rFonts w:hint="eastAsia" w:ascii="仿宋" w:hAnsi="仿宋" w:eastAsia="仿宋" w:cs="仿宋"/>
          <w:color w:val="auto"/>
          <w:sz w:val="32"/>
          <w:szCs w:val="32"/>
        </w:rPr>
        <w:t>预留预算总额的30%以上专门面向中小企业采</w:t>
      </w:r>
      <w:r>
        <w:rPr>
          <w:rFonts w:hint="eastAsia" w:ascii="仿宋" w:hAnsi="仿宋" w:eastAsia="仿宋" w:cs="仿宋"/>
          <w:strike w:val="0"/>
          <w:dstrike w:val="0"/>
          <w:color w:val="auto"/>
          <w:sz w:val="32"/>
          <w:szCs w:val="32"/>
          <w:lang w:eastAsia="zh-CN"/>
        </w:rPr>
        <w:t>购</w:t>
      </w:r>
      <w:r>
        <w:rPr>
          <w:rFonts w:hint="eastAsia" w:ascii="仿宋" w:hAnsi="仿宋" w:eastAsia="仿宋" w:cs="仿宋"/>
          <w:color w:val="auto"/>
          <w:sz w:val="32"/>
          <w:szCs w:val="32"/>
        </w:rPr>
        <w:t>，其中预留给小微企业的比例不低于60%</w:t>
      </w:r>
      <w:r>
        <w:rPr>
          <w:rFonts w:hint="eastAsia" w:ascii="仿宋" w:hAnsi="仿宋" w:eastAsia="仿宋" w:cs="仿宋"/>
          <w:strike w:val="0"/>
          <w:dstrike w:val="0"/>
          <w:color w:val="auto"/>
          <w:sz w:val="32"/>
          <w:szCs w:val="32"/>
          <w:lang w:eastAsia="zh-CN"/>
        </w:rPr>
        <w:t>。支持民营建筑业企业依法采用联合体方式参与投标，成员单位工作量原</w:t>
      </w:r>
      <w:r>
        <w:rPr>
          <w:rFonts w:hint="eastAsia" w:ascii="仿宋" w:hAnsi="仿宋" w:eastAsia="仿宋" w:cs="仿宋"/>
          <w:color w:val="auto"/>
          <w:sz w:val="32"/>
          <w:szCs w:val="32"/>
        </w:rPr>
        <w:t>则上不低于联合体工作量的40%，联合体业绩</w:t>
      </w:r>
      <w:r>
        <w:rPr>
          <w:rFonts w:hint="eastAsia" w:ascii="仿宋" w:hAnsi="仿宋" w:eastAsia="仿宋" w:cs="仿宋"/>
          <w:color w:val="auto"/>
          <w:sz w:val="32"/>
          <w:szCs w:val="32"/>
          <w:lang w:eastAsia="zh-CN"/>
        </w:rPr>
        <w:t>可作为</w:t>
      </w:r>
      <w:r>
        <w:rPr>
          <w:rFonts w:hint="eastAsia" w:ascii="仿宋" w:hAnsi="仿宋" w:eastAsia="仿宋" w:cs="仿宋"/>
          <w:color w:val="auto"/>
          <w:sz w:val="32"/>
          <w:szCs w:val="32"/>
        </w:rPr>
        <w:t>各方业绩</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w:t>
      </w:r>
      <w:r>
        <w:rPr>
          <w:rFonts w:hint="eastAsia" w:ascii="楷体" w:hAnsi="楷体" w:eastAsia="楷体" w:cs="楷体"/>
          <w:b w:val="0"/>
          <w:bCs w:val="0"/>
          <w:color w:val="auto"/>
          <w:kern w:val="2"/>
          <w:sz w:val="32"/>
          <w:szCs w:val="32"/>
          <w:lang w:val="en-US" w:eastAsia="zh-CN"/>
        </w:rPr>
        <w:t>（自治区</w:t>
      </w:r>
      <w:r>
        <w:rPr>
          <w:rFonts w:hint="eastAsia" w:ascii="楷体" w:hAnsi="楷体" w:eastAsia="楷体" w:cs="楷体"/>
          <w:b w:val="0"/>
          <w:bCs w:val="0"/>
          <w:color w:val="000000"/>
          <w:kern w:val="2"/>
          <w:sz w:val="32"/>
          <w:szCs w:val="32"/>
          <w:lang w:val="en-US" w:eastAsia="zh-CN"/>
        </w:rPr>
        <w:t>发展改革委、</w:t>
      </w:r>
      <w:r>
        <w:rPr>
          <w:rFonts w:hint="eastAsia" w:ascii="楷体" w:hAnsi="楷体" w:eastAsia="楷体" w:cs="楷体"/>
          <w:b w:val="0"/>
          <w:bCs w:val="0"/>
          <w:color w:val="auto"/>
          <w:kern w:val="2"/>
          <w:sz w:val="32"/>
          <w:szCs w:val="32"/>
          <w:lang w:val="en-US" w:eastAsia="zh-CN"/>
        </w:rPr>
        <w:t>工业和信息化厅、财政厅、自然资源厅、生态环境厅、住房城乡建设厅、交通运输厅、水利厅、农牧厅、能源局、林草局按照职能职责分别负责）</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三、激发科技创新活力</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鼓励民营建筑业企业创建“三化”（工业化、数字化、绿色化）示范基地，参与“三化”工程项目建设，支持民营建筑业企业</w:t>
      </w:r>
      <w:r>
        <w:rPr>
          <w:rFonts w:hint="eastAsia" w:ascii="仿宋" w:hAnsi="仿宋" w:eastAsia="仿宋" w:cs="仿宋"/>
          <w:color w:val="auto"/>
          <w:kern w:val="0"/>
          <w:sz w:val="32"/>
          <w:szCs w:val="32"/>
          <w:lang w:eastAsia="zh-CN" w:bidi="ar"/>
        </w:rPr>
        <w:t>参评专精特新企业和</w:t>
      </w:r>
      <w:r>
        <w:rPr>
          <w:rFonts w:hint="eastAsia" w:ascii="仿宋" w:hAnsi="仿宋" w:eastAsia="仿宋" w:cs="仿宋"/>
          <w:color w:val="auto"/>
          <w:sz w:val="32"/>
          <w:szCs w:val="32"/>
        </w:rPr>
        <w:t>高新技术企业</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bidi="ar"/>
        </w:rPr>
        <w:t>鼓励</w:t>
      </w:r>
      <w:r>
        <w:rPr>
          <w:rFonts w:hint="eastAsia" w:ascii="仿宋" w:hAnsi="仿宋" w:eastAsia="仿宋" w:cs="仿宋"/>
          <w:color w:val="auto"/>
          <w:kern w:val="0"/>
          <w:sz w:val="32"/>
          <w:szCs w:val="32"/>
          <w:lang w:eastAsia="zh-CN" w:bidi="ar"/>
        </w:rPr>
        <w:t>民营建筑业企业</w:t>
      </w:r>
      <w:r>
        <w:rPr>
          <w:rFonts w:hint="eastAsia" w:ascii="仿宋" w:hAnsi="仿宋" w:eastAsia="仿宋" w:cs="仿宋"/>
          <w:color w:val="auto"/>
          <w:kern w:val="0"/>
          <w:sz w:val="32"/>
          <w:szCs w:val="32"/>
          <w:lang w:bidi="ar"/>
        </w:rPr>
        <w:t>创建自治区级企业技术中心、产业创新中心、重点实验室</w:t>
      </w:r>
      <w:r>
        <w:rPr>
          <w:rFonts w:hint="eastAsia" w:ascii="仿宋" w:hAnsi="仿宋" w:eastAsia="仿宋" w:cs="仿宋"/>
          <w:color w:val="auto"/>
          <w:kern w:val="0"/>
          <w:sz w:val="32"/>
          <w:szCs w:val="32"/>
          <w:lang w:eastAsia="zh-CN" w:bidi="ar"/>
        </w:rPr>
        <w:t>等</w:t>
      </w:r>
      <w:r>
        <w:rPr>
          <w:rFonts w:hint="eastAsia" w:ascii="仿宋" w:hAnsi="仿宋" w:eastAsia="仿宋" w:cs="仿宋"/>
          <w:color w:val="auto"/>
          <w:kern w:val="0"/>
          <w:sz w:val="32"/>
          <w:szCs w:val="32"/>
          <w:lang w:bidi="ar"/>
        </w:rPr>
        <w:t>，</w:t>
      </w:r>
      <w:r>
        <w:rPr>
          <w:rFonts w:hint="eastAsia" w:ascii="仿宋" w:hAnsi="仿宋" w:eastAsia="仿宋" w:cs="仿宋"/>
          <w:color w:val="auto"/>
          <w:kern w:val="0"/>
          <w:sz w:val="32"/>
          <w:szCs w:val="32"/>
          <w:lang w:eastAsia="zh-CN" w:bidi="ar"/>
        </w:rPr>
        <w:t>参与</w:t>
      </w:r>
      <w:r>
        <w:rPr>
          <w:rFonts w:hint="eastAsia" w:ascii="仿宋" w:hAnsi="仿宋" w:eastAsia="仿宋" w:cs="仿宋"/>
          <w:color w:val="auto"/>
          <w:sz w:val="32"/>
          <w:szCs w:val="32"/>
        </w:rPr>
        <w:t>重点研发和成果转化</w:t>
      </w:r>
      <w:r>
        <w:rPr>
          <w:rFonts w:hint="eastAsia" w:ascii="仿宋" w:hAnsi="仿宋" w:eastAsia="仿宋" w:cs="仿宋"/>
          <w:strike w:val="0"/>
          <w:dstrike w:val="0"/>
          <w:color w:val="auto"/>
          <w:sz w:val="32"/>
          <w:szCs w:val="32"/>
        </w:rPr>
        <w:t>计划</w:t>
      </w:r>
      <w:r>
        <w:rPr>
          <w:rFonts w:hint="eastAsia" w:ascii="仿宋" w:hAnsi="仿宋" w:eastAsia="仿宋" w:cs="仿宋"/>
          <w:color w:val="auto"/>
          <w:sz w:val="32"/>
          <w:szCs w:val="32"/>
        </w:rPr>
        <w:t>等科技项目。</w:t>
      </w:r>
      <w:r>
        <w:rPr>
          <w:rFonts w:hint="eastAsia" w:ascii="仿宋" w:hAnsi="仿宋" w:eastAsia="仿宋" w:cs="仿宋"/>
          <w:color w:val="auto"/>
          <w:sz w:val="32"/>
          <w:szCs w:val="32"/>
          <w:lang w:val="en-US" w:eastAsia="zh-CN"/>
        </w:rPr>
        <w:t>搭建民营建筑业企业与国企、高校、科研院所合作交流平台，探索推广</w:t>
      </w:r>
      <w:r>
        <w:rPr>
          <w:rFonts w:hint="eastAsia" w:ascii="仿宋" w:hAnsi="仿宋" w:eastAsia="仿宋" w:cs="仿宋"/>
          <w:color w:val="auto"/>
          <w:sz w:val="32"/>
          <w:szCs w:val="32"/>
        </w:rPr>
        <w:t>“先使用后付费”成果</w:t>
      </w:r>
      <w:r>
        <w:rPr>
          <w:rFonts w:hint="eastAsia" w:ascii="仿宋" w:hAnsi="仿宋" w:eastAsia="仿宋" w:cs="仿宋"/>
          <w:color w:val="auto"/>
          <w:sz w:val="32"/>
          <w:szCs w:val="32"/>
          <w:lang w:eastAsia="zh-CN"/>
        </w:rPr>
        <w:t>转化模式，切实</w:t>
      </w:r>
      <w:r>
        <w:rPr>
          <w:rFonts w:hint="eastAsia" w:ascii="仿宋" w:hAnsi="仿宋" w:eastAsia="仿宋" w:cs="仿宋"/>
          <w:color w:val="auto"/>
          <w:kern w:val="0"/>
          <w:sz w:val="32"/>
          <w:szCs w:val="32"/>
          <w:lang w:eastAsia="zh-CN" w:bidi="ar"/>
        </w:rPr>
        <w:t>提高科技创新能力。</w:t>
      </w:r>
      <w:r>
        <w:rPr>
          <w:rFonts w:hint="eastAsia" w:ascii="楷体" w:hAnsi="楷体" w:eastAsia="楷体" w:cs="楷体"/>
          <w:b w:val="0"/>
          <w:bCs w:val="0"/>
          <w:color w:val="auto"/>
          <w:kern w:val="2"/>
          <w:sz w:val="32"/>
          <w:szCs w:val="32"/>
          <w:lang w:val="en-US" w:eastAsia="zh-CN"/>
        </w:rPr>
        <w:t>（自治区教育厅、科技厅、工业和信息化厅、住房城乡建设厅按照职能职责分别负责）</w:t>
      </w:r>
    </w:p>
    <w:p>
      <w:pPr>
        <w:keepNext w:val="0"/>
        <w:keepLines w:val="0"/>
        <w:pageBreakBefore w:val="0"/>
        <w:widowControl w:val="0"/>
        <w:kinsoku/>
        <w:wordWrap/>
        <w:topLinePunct/>
        <w:bidi w:val="0"/>
        <w:adjustRightInd/>
        <w:snapToGrid/>
        <w:spacing w:line="580" w:lineRule="exact"/>
        <w:ind w:firstLine="640" w:firstLineChars="200"/>
        <w:textAlignment w:val="auto"/>
        <w:rPr>
          <w:rFonts w:hint="eastAsia" w:ascii="仿宋" w:hAnsi="仿宋" w:eastAsia="仿宋" w:cs="仿宋"/>
          <w:strike w:val="0"/>
          <w:dstrike w:val="0"/>
          <w:color w:val="auto"/>
          <w:sz w:val="32"/>
          <w:szCs w:val="32"/>
          <w:lang w:eastAsia="zh-CN"/>
        </w:rPr>
      </w:pPr>
      <w:r>
        <w:rPr>
          <w:rFonts w:hint="eastAsia" w:ascii="黑体" w:hAnsi="黑体" w:eastAsia="黑体" w:cs="黑体"/>
          <w:color w:val="auto"/>
          <w:kern w:val="0"/>
          <w:sz w:val="32"/>
          <w:szCs w:val="32"/>
          <w:lang w:val="en-US" w:eastAsia="zh-CN" w:bidi="ar"/>
        </w:rPr>
        <w:t>四</w:t>
      </w:r>
      <w:r>
        <w:rPr>
          <w:rFonts w:hint="eastAsia" w:ascii="黑体" w:hAnsi="黑体" w:eastAsia="黑体" w:cs="黑体"/>
          <w:color w:val="auto"/>
          <w:kern w:val="0"/>
          <w:sz w:val="32"/>
          <w:szCs w:val="32"/>
          <w:lang w:bidi="ar"/>
        </w:rPr>
        <w:t>、加大金融支持力度</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2"/>
          <w:sz w:val="32"/>
          <w:szCs w:val="32"/>
          <w:lang w:val="en-US" w:eastAsia="zh-CN" w:bidi="ar-SA"/>
        </w:rPr>
        <w:t>鼓励银行业金融机构开发适合民营建筑业企业高质量发展的金融产品，依法合规开展建筑材料、应收账款、工程设备等抵押质押贷款业务，对符合条件的民营建筑业企业发放无抵押无担保信用贷款，加大对建筑业上中下游全产业链企业的金融支持力度，优化供应链金融服务，对绿色建筑、超低能耗建筑、装配式建筑项目开辟贷款绿色通道，提高审批效率。对生产经营正常、资金流暂时遇到困难的民营建筑业企业不得盲目抽贷、压贷、断贷。</w:t>
      </w:r>
      <w:r>
        <w:rPr>
          <w:rFonts w:hint="eastAsia" w:ascii="楷体" w:hAnsi="楷体" w:eastAsia="楷体" w:cs="楷体"/>
          <w:b w:val="0"/>
          <w:bCs w:val="0"/>
          <w:color w:val="auto"/>
          <w:kern w:val="2"/>
          <w:sz w:val="32"/>
          <w:szCs w:val="32"/>
          <w:lang w:val="en-US" w:eastAsia="zh-CN"/>
        </w:rPr>
        <w:t>（自治区党委金融办、中国人民银行内蒙古自治区分行、内蒙古金融监管局按照职能职责分别负责）</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u w:val="single"/>
          <w:lang w:bidi="ar"/>
        </w:rPr>
      </w:pPr>
      <w:r>
        <w:rPr>
          <w:rFonts w:hint="eastAsia" w:ascii="黑体" w:hAnsi="黑体" w:eastAsia="黑体" w:cs="黑体"/>
          <w:color w:val="auto"/>
          <w:kern w:val="0"/>
          <w:sz w:val="32"/>
          <w:szCs w:val="32"/>
          <w:lang w:val="en-US" w:eastAsia="zh-CN" w:bidi="ar"/>
        </w:rPr>
        <w:t>五</w:t>
      </w:r>
      <w:r>
        <w:rPr>
          <w:rFonts w:hint="eastAsia" w:ascii="黑体" w:hAnsi="黑体" w:eastAsia="黑体" w:cs="黑体"/>
          <w:color w:val="auto"/>
          <w:kern w:val="0"/>
          <w:sz w:val="32"/>
          <w:szCs w:val="32"/>
          <w:lang w:bidi="ar"/>
        </w:rPr>
        <w:t>、减轻生产经营负担</w:t>
      </w:r>
    </w:p>
    <w:p>
      <w:pPr>
        <w:pStyle w:val="16"/>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楷体" w:hAnsi="楷体" w:eastAsia="楷体" w:cs="楷体"/>
          <w:color w:val="000000"/>
          <w:szCs w:val="32"/>
          <w:lang w:val="en-US" w:eastAsia="zh-CN"/>
        </w:rPr>
      </w:pPr>
      <w:r>
        <w:rPr>
          <w:rFonts w:hint="eastAsia" w:ascii="仿宋" w:hAnsi="仿宋" w:eastAsia="仿宋" w:cs="仿宋"/>
          <w:color w:val="000000"/>
          <w:szCs w:val="32"/>
          <w:lang w:val="en-US" w:eastAsia="zh-CN"/>
        </w:rPr>
        <w:t>对管理规范、信用良好、未列入“内蒙古自治区拖欠农牧民工工资失信联合惩戒对象名单”的民营建筑业企业，探索实行“一盟市一账户多项目，全盟市通用”的农牧民工工资专用账户管理模式。加快清理拖欠企业账款，加力推进“连环清”。加强对《保障中小企业款项支付条例》落实情况监督检查，切实规范工程款支付管理，确保及时足额支付到位。国有投资工程应当</w:t>
      </w:r>
      <w:r>
        <w:rPr>
          <w:rFonts w:hint="eastAsia" w:ascii="仿宋" w:hAnsi="仿宋" w:eastAsia="仿宋" w:cs="仿宋"/>
          <w:color w:val="000000"/>
          <w:szCs w:val="32"/>
          <w:lang w:eastAsia="zh-CN"/>
        </w:rPr>
        <w:t>将过程结算列入招投标和合</w:t>
      </w:r>
      <w:r>
        <w:rPr>
          <w:rFonts w:hint="eastAsia" w:ascii="仿宋" w:hAnsi="仿宋" w:eastAsia="仿宋" w:cs="仿宋"/>
          <w:color w:val="000000"/>
          <w:szCs w:val="32"/>
          <w:lang w:val="en-US" w:eastAsia="zh-CN"/>
        </w:rPr>
        <w:t>同</w:t>
      </w:r>
      <w:r>
        <w:rPr>
          <w:rFonts w:hint="eastAsia" w:ascii="仿宋" w:hAnsi="仿宋" w:eastAsia="仿宋" w:cs="仿宋"/>
          <w:color w:val="000000"/>
          <w:szCs w:val="32"/>
          <w:lang w:eastAsia="zh-CN"/>
        </w:rPr>
        <w:t>签订内容。</w:t>
      </w:r>
      <w:r>
        <w:rPr>
          <w:rFonts w:hint="eastAsia" w:ascii="仿宋" w:hAnsi="仿宋" w:eastAsia="仿宋" w:cs="仿宋"/>
          <w:color w:val="000000"/>
          <w:szCs w:val="32"/>
          <w:lang w:val="en-US" w:eastAsia="zh-CN"/>
        </w:rPr>
        <w:t>工程</w:t>
      </w:r>
      <w:r>
        <w:rPr>
          <w:rFonts w:hint="eastAsia" w:ascii="仿宋" w:hAnsi="仿宋" w:eastAsia="仿宋" w:cs="仿宋"/>
          <w:color w:val="000000"/>
          <w:szCs w:val="32"/>
          <w:lang w:eastAsia="zh-CN"/>
        </w:rPr>
        <w:t>预付款比例不低于合同总价的10%，工程进度款支付比例不低于已完成工程价款的80%，</w:t>
      </w:r>
      <w:r>
        <w:rPr>
          <w:rFonts w:hint="eastAsia" w:ascii="仿宋" w:hAnsi="仿宋" w:eastAsia="仿宋" w:cs="仿宋"/>
          <w:color w:val="000000"/>
          <w:szCs w:val="32"/>
          <w:lang w:val="en-US" w:eastAsia="zh-CN"/>
        </w:rPr>
        <w:t>工程竣工结算实行一次结算审计，审计完成后及时足额拨付</w:t>
      </w:r>
      <w:r>
        <w:rPr>
          <w:rFonts w:hint="eastAsia" w:ascii="仿宋" w:hAnsi="仿宋" w:eastAsia="仿宋" w:cs="仿宋"/>
          <w:color w:val="000000"/>
          <w:szCs w:val="32"/>
          <w:lang w:eastAsia="zh-CN"/>
        </w:rPr>
        <w:t>。</w:t>
      </w:r>
      <w:r>
        <w:rPr>
          <w:rFonts w:hint="eastAsia" w:ascii="楷体" w:hAnsi="楷体" w:eastAsia="楷体" w:cs="楷体"/>
          <w:b w:val="0"/>
          <w:bCs w:val="0"/>
          <w:color w:val="000000"/>
          <w:kern w:val="2"/>
          <w:sz w:val="32"/>
          <w:szCs w:val="32"/>
          <w:lang w:val="en-US" w:eastAsia="zh-CN"/>
        </w:rPr>
        <w:t>（自治区工业和信息化厅、财政厅、人力资源社会保障厅、自然资源厅、生态环境厅、住房城乡建设厅、交通运输厅、水利厅、农牧厅、国资委、能源局、林草局，中国人民银行内蒙古自治区分行按照职能职责分别负责）</w:t>
      </w:r>
    </w:p>
    <w:p>
      <w:pPr>
        <w:pStyle w:val="16"/>
        <w:keepNext w:val="0"/>
        <w:keepLines w:val="0"/>
        <w:pageBreakBefore w:val="0"/>
        <w:widowControl w:val="0"/>
        <w:kinsoku/>
        <w:wordWrap/>
        <w:topLinePunct/>
        <w:bidi w:val="0"/>
        <w:adjustRightInd/>
        <w:snapToGrid/>
        <w:spacing w:line="580" w:lineRule="exact"/>
        <w:ind w:firstLine="640" w:firstLineChars="200"/>
        <w:jc w:val="both"/>
        <w:textAlignment w:val="auto"/>
        <w:rPr>
          <w:rFonts w:hint="eastAsia" w:ascii="仿宋" w:hAnsi="仿宋" w:eastAsia="仿宋" w:cs="仿宋"/>
          <w:color w:val="000000"/>
          <w:kern w:val="0"/>
          <w:szCs w:val="32"/>
          <w:lang w:eastAsia="zh-CN" w:bidi="ar"/>
        </w:rPr>
      </w:pPr>
      <w:r>
        <w:rPr>
          <w:rFonts w:hint="eastAsia" w:ascii="黑体" w:hAnsi="黑体" w:eastAsia="黑体" w:cs="黑体"/>
          <w:color w:val="000000"/>
          <w:kern w:val="0"/>
          <w:szCs w:val="32"/>
          <w:lang w:val="en-US" w:eastAsia="zh-CN" w:bidi="ar"/>
        </w:rPr>
        <w:t>六</w:t>
      </w:r>
      <w:r>
        <w:rPr>
          <w:rFonts w:hint="eastAsia" w:ascii="黑体" w:hAnsi="黑体" w:eastAsia="黑体" w:cs="黑体"/>
          <w:color w:val="000000"/>
          <w:kern w:val="0"/>
          <w:szCs w:val="32"/>
          <w:lang w:bidi="ar"/>
        </w:rPr>
        <w:t>、加强</w:t>
      </w:r>
      <w:r>
        <w:rPr>
          <w:rFonts w:hint="eastAsia" w:ascii="黑体" w:hAnsi="黑体" w:eastAsia="黑体" w:cs="黑体"/>
          <w:color w:val="000000"/>
          <w:kern w:val="0"/>
          <w:szCs w:val="32"/>
          <w:lang w:eastAsia="zh-CN" w:bidi="ar"/>
        </w:rPr>
        <w:t>职业</w:t>
      </w:r>
      <w:r>
        <w:rPr>
          <w:rFonts w:hint="eastAsia" w:ascii="黑体" w:hAnsi="黑体" w:eastAsia="黑体" w:cs="黑体"/>
          <w:color w:val="000000"/>
          <w:kern w:val="0"/>
          <w:szCs w:val="32"/>
          <w:lang w:bidi="ar"/>
        </w:rPr>
        <w:t>人才</w:t>
      </w:r>
      <w:r>
        <w:rPr>
          <w:rFonts w:hint="eastAsia" w:ascii="黑体" w:hAnsi="黑体" w:eastAsia="黑体" w:cs="黑体"/>
          <w:color w:val="000000"/>
          <w:kern w:val="0"/>
          <w:szCs w:val="32"/>
          <w:lang w:eastAsia="zh-CN" w:bidi="ar"/>
        </w:rPr>
        <w:t>培育</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楷体" w:hAnsi="楷体" w:eastAsia="楷体" w:cs="楷体"/>
          <w:color w:val="auto"/>
          <w:kern w:val="2"/>
          <w:sz w:val="32"/>
          <w:szCs w:val="32"/>
          <w:lang w:val="en-US"/>
        </w:rPr>
      </w:pPr>
      <w:r>
        <w:rPr>
          <w:rFonts w:hint="eastAsia" w:ascii="仿宋" w:hAnsi="仿宋" w:eastAsia="仿宋" w:cs="仿宋"/>
          <w:color w:val="auto"/>
          <w:kern w:val="2"/>
          <w:sz w:val="32"/>
          <w:szCs w:val="32"/>
          <w:lang w:val="en-US" w:eastAsia="zh-CN" w:bidi="ar-SA"/>
        </w:rPr>
        <w:t>加大建筑业工人技能公益</w:t>
      </w:r>
      <w:r>
        <w:rPr>
          <w:rFonts w:hint="eastAsia" w:ascii="仿宋" w:hAnsi="仿宋" w:eastAsia="仿宋" w:cs="仿宋"/>
          <w:color w:val="000000"/>
          <w:kern w:val="2"/>
          <w:sz w:val="32"/>
          <w:szCs w:val="32"/>
          <w:lang w:val="en-US" w:eastAsia="zh-CN" w:bidi="ar-SA"/>
        </w:rPr>
        <w:t>培训力度，增加培训人员数量，丰富培训内容，有效提升培训质量。</w:t>
      </w:r>
      <w:r>
        <w:rPr>
          <w:rFonts w:hint="eastAsia" w:ascii="仿宋" w:hAnsi="仿宋" w:eastAsia="仿宋" w:cs="仿宋"/>
          <w:color w:val="000000"/>
          <w:kern w:val="2"/>
          <w:sz w:val="32"/>
          <w:szCs w:val="32"/>
          <w:lang w:val="en-US" w:eastAsia="zh-CN"/>
        </w:rPr>
        <w:t>鼓励</w:t>
      </w:r>
      <w:r>
        <w:rPr>
          <w:rFonts w:hint="eastAsia" w:ascii="仿宋" w:hAnsi="仿宋" w:eastAsia="仿宋" w:cs="仿宋"/>
          <w:color w:val="000000"/>
          <w:kern w:val="2"/>
          <w:sz w:val="32"/>
          <w:szCs w:val="32"/>
          <w:lang w:eastAsia="zh-CN"/>
        </w:rPr>
        <w:t>民营建筑业企业</w:t>
      </w:r>
      <w:r>
        <w:rPr>
          <w:rFonts w:hint="eastAsia" w:ascii="仿宋" w:hAnsi="仿宋" w:eastAsia="仿宋" w:cs="仿宋"/>
          <w:color w:val="000000"/>
          <w:kern w:val="2"/>
          <w:sz w:val="32"/>
          <w:szCs w:val="32"/>
        </w:rPr>
        <w:t>建立产业工人培训基地，培育自有骨干工人。</w:t>
      </w:r>
      <w:r>
        <w:rPr>
          <w:rFonts w:hint="eastAsia" w:ascii="仿宋" w:hAnsi="仿宋" w:eastAsia="仿宋" w:cs="仿宋"/>
          <w:color w:val="auto"/>
          <w:kern w:val="2"/>
          <w:sz w:val="32"/>
          <w:szCs w:val="32"/>
        </w:rPr>
        <w:t>鼓励现有劳务班组成立专业作业企业，建立相对稳定的核心技术工人队伍。全面落实“新八级工”职业技能等级制度</w:t>
      </w:r>
      <w:r>
        <w:rPr>
          <w:rFonts w:hint="eastAsia" w:ascii="仿宋" w:hAnsi="仿宋" w:eastAsia="仿宋" w:cs="仿宋"/>
          <w:color w:val="000000"/>
          <w:kern w:val="2"/>
          <w:sz w:val="32"/>
          <w:szCs w:val="32"/>
          <w:lang w:val="en-US" w:eastAsia="zh-CN" w:bidi="ar-SA"/>
        </w:rPr>
        <w:t>，鼓励符合条件的</w:t>
      </w:r>
      <w:r>
        <w:rPr>
          <w:rFonts w:hint="eastAsia" w:ascii="仿宋" w:hAnsi="仿宋" w:eastAsia="仿宋" w:cs="仿宋"/>
          <w:color w:val="auto"/>
          <w:kern w:val="2"/>
          <w:sz w:val="32"/>
          <w:szCs w:val="32"/>
          <w:lang w:val="en-US" w:eastAsia="zh-CN" w:bidi="ar-SA"/>
        </w:rPr>
        <w:t>民营建筑业企业开展</w:t>
      </w:r>
      <w:r>
        <w:rPr>
          <w:rFonts w:hint="eastAsia" w:ascii="仿宋" w:hAnsi="仿宋" w:eastAsia="仿宋" w:cs="仿宋"/>
          <w:color w:val="000000"/>
          <w:kern w:val="2"/>
          <w:sz w:val="32"/>
          <w:szCs w:val="32"/>
          <w:lang w:val="en-US" w:eastAsia="zh-CN" w:bidi="ar-SA"/>
        </w:rPr>
        <w:t>技能人才自主评价，</w:t>
      </w:r>
      <w:r>
        <w:rPr>
          <w:rFonts w:hint="eastAsia" w:ascii="仿宋" w:hAnsi="仿宋" w:eastAsia="仿宋" w:cs="仿宋"/>
          <w:color w:val="auto"/>
          <w:kern w:val="2"/>
          <w:sz w:val="32"/>
          <w:szCs w:val="32"/>
          <w:lang w:eastAsia="zh-CN"/>
        </w:rPr>
        <w:t>推广</w:t>
      </w:r>
      <w:r>
        <w:rPr>
          <w:rFonts w:hint="eastAsia" w:ascii="仿宋" w:hAnsi="仿宋" w:eastAsia="仿宋" w:cs="仿宋"/>
          <w:color w:val="auto"/>
          <w:kern w:val="2"/>
          <w:sz w:val="32"/>
          <w:szCs w:val="32"/>
          <w:lang w:val="en-US" w:eastAsia="zh-CN" w:bidi="ar-SA"/>
        </w:rPr>
        <w:t>职业</w:t>
      </w:r>
      <w:r>
        <w:rPr>
          <w:rFonts w:hint="eastAsia" w:ascii="仿宋" w:hAnsi="仿宋" w:eastAsia="仿宋" w:cs="仿宋"/>
          <w:color w:val="000000"/>
          <w:kern w:val="2"/>
          <w:sz w:val="32"/>
          <w:szCs w:val="32"/>
          <w:lang w:val="en-US" w:eastAsia="zh-CN" w:bidi="ar-SA"/>
        </w:rPr>
        <w:t>技能等</w:t>
      </w:r>
      <w:r>
        <w:rPr>
          <w:rFonts w:hint="eastAsia" w:ascii="仿宋" w:hAnsi="仿宋" w:eastAsia="仿宋" w:cs="仿宋"/>
          <w:color w:val="auto"/>
          <w:kern w:val="2"/>
          <w:sz w:val="32"/>
          <w:szCs w:val="32"/>
          <w:lang w:val="en-US" w:eastAsia="zh-CN" w:bidi="ar-SA"/>
        </w:rPr>
        <w:t>级与薪酬挂钩。</w:t>
      </w:r>
      <w:r>
        <w:rPr>
          <w:rFonts w:hint="eastAsia" w:ascii="仿宋" w:hAnsi="仿宋" w:eastAsia="仿宋" w:cs="仿宋"/>
          <w:color w:val="auto"/>
          <w:kern w:val="2"/>
          <w:sz w:val="32"/>
          <w:szCs w:val="32"/>
          <w:lang w:val="en-US" w:eastAsia="zh-CN"/>
        </w:rPr>
        <w:t>支持</w:t>
      </w:r>
      <w:r>
        <w:rPr>
          <w:rFonts w:hint="eastAsia" w:ascii="仿宋" w:hAnsi="仿宋" w:eastAsia="仿宋" w:cs="仿宋"/>
          <w:color w:val="auto"/>
          <w:kern w:val="2"/>
          <w:sz w:val="32"/>
          <w:szCs w:val="32"/>
          <w:lang w:val="en-US" w:eastAsia="zh-CN" w:bidi="ar-SA"/>
        </w:rPr>
        <w:t>民营建筑业企业</w:t>
      </w:r>
      <w:r>
        <w:rPr>
          <w:rFonts w:hint="eastAsia" w:ascii="仿宋" w:hAnsi="仿宋" w:eastAsia="仿宋" w:cs="仿宋"/>
          <w:color w:val="auto"/>
          <w:kern w:val="2"/>
          <w:sz w:val="32"/>
          <w:szCs w:val="32"/>
          <w:lang w:eastAsia="zh-CN"/>
        </w:rPr>
        <w:t>申报</w:t>
      </w:r>
      <w:r>
        <w:rPr>
          <w:rFonts w:hint="eastAsia" w:ascii="仿宋" w:hAnsi="仿宋" w:eastAsia="仿宋" w:cs="仿宋"/>
          <w:color w:val="auto"/>
          <w:kern w:val="2"/>
          <w:sz w:val="32"/>
          <w:szCs w:val="32"/>
        </w:rPr>
        <w:t>博士后科研工作站（博士后创新实践基地）</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“工匠学院”，推荐高层次建筑业企业人才入选</w:t>
      </w:r>
      <w:r>
        <w:rPr>
          <w:rFonts w:hint="eastAsia" w:ascii="仿宋" w:hAnsi="仿宋" w:eastAsia="仿宋" w:cs="仿宋"/>
          <w:color w:val="000000"/>
          <w:kern w:val="2"/>
          <w:sz w:val="32"/>
          <w:szCs w:val="32"/>
        </w:rPr>
        <w:t>国家和本地区工程建设领域专家库。</w:t>
      </w:r>
      <w:r>
        <w:rPr>
          <w:rFonts w:hint="eastAsia" w:ascii="楷体" w:hAnsi="楷体" w:eastAsia="楷体" w:cs="楷体"/>
          <w:b w:val="0"/>
          <w:bCs w:val="0"/>
          <w:color w:val="auto"/>
          <w:kern w:val="2"/>
          <w:sz w:val="32"/>
          <w:szCs w:val="32"/>
          <w:lang w:val="en-US" w:eastAsia="zh-CN"/>
        </w:rPr>
        <w:t>（自治</w:t>
      </w:r>
      <w:r>
        <w:rPr>
          <w:rFonts w:hint="eastAsia" w:ascii="楷体" w:hAnsi="楷体" w:eastAsia="楷体" w:cs="楷体"/>
          <w:b w:val="0"/>
          <w:bCs w:val="0"/>
          <w:color w:val="000000"/>
          <w:kern w:val="2"/>
          <w:sz w:val="32"/>
          <w:szCs w:val="32"/>
          <w:lang w:val="en-US" w:eastAsia="zh-CN"/>
        </w:rPr>
        <w:t>区总工会、教</w:t>
      </w:r>
      <w:r>
        <w:rPr>
          <w:rFonts w:hint="eastAsia" w:ascii="楷体" w:hAnsi="楷体" w:eastAsia="楷体" w:cs="楷体"/>
          <w:b w:val="0"/>
          <w:bCs w:val="0"/>
          <w:color w:val="auto"/>
          <w:kern w:val="2"/>
          <w:sz w:val="32"/>
          <w:szCs w:val="32"/>
          <w:lang w:val="en-US" w:eastAsia="zh-CN"/>
        </w:rPr>
        <w:t>育厅、人力资源社会保障厅、住房城乡建设厅按照职能职责分别负责）</w:t>
      </w:r>
    </w:p>
    <w:p>
      <w:pPr>
        <w:pStyle w:val="16"/>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七、推动民营与国有建筑业企业深度合作</w:t>
      </w:r>
    </w:p>
    <w:p>
      <w:pPr>
        <w:keepNext w:val="0"/>
        <w:keepLines w:val="0"/>
        <w:pageBreakBefore w:val="0"/>
        <w:widowControl w:val="0"/>
        <w:numPr>
          <w:ilvl w:val="0"/>
          <w:numId w:val="0"/>
        </w:numPr>
        <w:kinsoku/>
        <w:wordWrap/>
        <w:topLinePunct/>
        <w:bidi w:val="0"/>
        <w:adjustRightInd/>
        <w:snapToGrid/>
        <w:spacing w:line="580" w:lineRule="exact"/>
        <w:ind w:firstLine="640" w:firstLineChars="200"/>
        <w:textAlignment w:val="auto"/>
        <w:rPr>
          <w:rFonts w:hint="eastAsia" w:ascii="楷体" w:hAnsi="楷体" w:eastAsia="楷体" w:cs="楷体"/>
          <w:b/>
          <w:bCs/>
          <w:color w:val="auto"/>
          <w:sz w:val="32"/>
          <w:szCs w:val="32"/>
          <w:lang w:val="en-US" w:eastAsia="zh-CN"/>
        </w:rPr>
      </w:pPr>
      <w:r>
        <w:rPr>
          <w:rFonts w:hint="eastAsia" w:ascii="仿宋" w:hAnsi="仿宋" w:eastAsia="仿宋" w:cs="仿宋"/>
          <w:color w:val="auto"/>
          <w:sz w:val="32"/>
          <w:szCs w:val="32"/>
          <w:lang w:val="en-US" w:eastAsia="zh-CN"/>
        </w:rPr>
        <w:t>根据需求组织国有企业与民营建筑业企业举办项目对接会、供需洽谈会，推动双方在项目投资、建设运营、市场拓展等方面精准对接。支持主业处于建筑领域的国有企业按照“三因三宜三不”原则，以股权转（受）让、联合新设、投资入股等市场化方式与民营建筑业企业进行混合所有制改革，协同合作，优势互补。管理规范、信用良好的混</w:t>
      </w:r>
      <w:r>
        <w:rPr>
          <w:rFonts w:hint="eastAsia" w:ascii="仿宋" w:hAnsi="仿宋" w:eastAsia="仿宋" w:cs="仿宋"/>
          <w:b w:val="0"/>
          <w:bCs w:val="0"/>
          <w:color w:val="auto"/>
          <w:sz w:val="32"/>
          <w:szCs w:val="32"/>
          <w:lang w:val="en-US" w:eastAsia="zh-CN"/>
        </w:rPr>
        <w:t>合所有制企业股东</w:t>
      </w:r>
      <w:r>
        <w:rPr>
          <w:rFonts w:hint="eastAsia" w:ascii="仿宋" w:hAnsi="仿宋" w:eastAsia="仿宋" w:cs="仿宋"/>
          <w:b w:val="0"/>
          <w:bCs w:val="0"/>
          <w:strike w:val="0"/>
          <w:dstrike w:val="0"/>
          <w:color w:val="auto"/>
          <w:sz w:val="32"/>
          <w:szCs w:val="32"/>
          <w:lang w:val="en-US" w:eastAsia="zh-CN"/>
        </w:rPr>
        <w:t>在工程质量、安全、债务、侵权、违约等方面</w:t>
      </w:r>
      <w:r>
        <w:rPr>
          <w:rFonts w:hint="eastAsia" w:ascii="仿宋" w:hAnsi="仿宋" w:eastAsia="仿宋" w:cs="仿宋"/>
          <w:b w:val="0"/>
          <w:bCs w:val="0"/>
          <w:color w:val="auto"/>
          <w:sz w:val="32"/>
          <w:szCs w:val="32"/>
          <w:lang w:val="en-US" w:eastAsia="zh-CN"/>
        </w:rPr>
        <w:t>承诺承担连带责任的，准予其使用股东业绩、信用信息、获奖情况作为承揽自治区工程项目的投标人资信。</w:t>
      </w:r>
      <w:r>
        <w:rPr>
          <w:rFonts w:hint="eastAsia" w:ascii="楷体" w:hAnsi="楷体" w:eastAsia="楷体" w:cs="楷体"/>
          <w:b w:val="0"/>
          <w:bCs w:val="0"/>
          <w:color w:val="auto"/>
          <w:kern w:val="2"/>
          <w:sz w:val="32"/>
          <w:szCs w:val="32"/>
          <w:lang w:val="en-US" w:eastAsia="zh-CN"/>
        </w:rPr>
        <w:t>（自治区工业和信息化厅、自然资源厅、生态环境厅、住房城乡建设厅、交通运输厅、水利厅、农牧厅、国资委、能源局、林草局按照职能职责分别负责）</w:t>
      </w:r>
    </w:p>
    <w:p>
      <w:pPr>
        <w:pStyle w:val="10"/>
        <w:keepNext w:val="0"/>
        <w:keepLines w:val="0"/>
        <w:pageBreakBefore w:val="0"/>
        <w:widowControl w:val="0"/>
        <w:numPr>
          <w:ilvl w:val="0"/>
          <w:numId w:val="0"/>
        </w:numPr>
        <w:kinsoku/>
        <w:wordWrap/>
        <w:topLinePunct/>
        <w:bidi w:val="0"/>
        <w:adjustRightInd/>
        <w:snapToGrid/>
        <w:spacing w:before="0" w:beforeAutospacing="0" w:after="0" w:afterAutospacing="0" w:line="580" w:lineRule="exact"/>
        <w:ind w:leftChars="200" w:right="0" w:rightChars="0" w:firstLine="320" w:firstLineChars="100"/>
        <w:jc w:val="both"/>
        <w:textAlignment w:val="auto"/>
        <w:rPr>
          <w:rFonts w:hint="eastAsia" w:ascii="仿宋" w:hAnsi="仿宋" w:eastAsia="仿宋" w:cs="仿宋"/>
          <w:color w:val="auto"/>
          <w:sz w:val="32"/>
          <w:szCs w:val="32"/>
          <w:lang w:val="en-US" w:eastAsia="zh-CN" w:bidi="ar"/>
        </w:rPr>
      </w:pPr>
      <w:r>
        <w:rPr>
          <w:rFonts w:hint="eastAsia" w:ascii="黑体" w:hAnsi="黑体" w:eastAsia="黑体" w:cs="黑体"/>
          <w:color w:val="auto"/>
          <w:sz w:val="32"/>
          <w:szCs w:val="32"/>
          <w:lang w:val="en-US" w:eastAsia="zh-CN" w:bidi="ar"/>
        </w:rPr>
        <w:t>八、优化建设市场环境</w:t>
      </w:r>
    </w:p>
    <w:p>
      <w:pPr>
        <w:pStyle w:val="10"/>
        <w:keepNext w:val="0"/>
        <w:keepLines w:val="0"/>
        <w:pageBreakBefore w:val="0"/>
        <w:widowControl w:val="0"/>
        <w:kinsoku/>
        <w:wordWrap/>
        <w:topLinePunct/>
        <w:bidi w:val="0"/>
        <w:adjustRightInd/>
        <w:snapToGrid/>
        <w:spacing w:before="0" w:beforeAutospacing="0" w:after="0" w:afterAutospacing="0" w:line="580" w:lineRule="exact"/>
        <w:ind w:firstLine="640" w:firstLineChars="200"/>
        <w:jc w:val="both"/>
        <w:textAlignment w:val="auto"/>
        <w:rPr>
          <w:rFonts w:hint="eastAsia" w:ascii="楷体" w:hAnsi="楷体" w:eastAsia="楷体" w:cs="楷体"/>
          <w:color w:val="auto"/>
          <w:sz w:val="32"/>
          <w:szCs w:val="32"/>
          <w:lang w:val="en-US" w:eastAsia="zh-CN" w:bidi="ar"/>
        </w:rPr>
      </w:pPr>
      <w:r>
        <w:rPr>
          <w:rFonts w:hint="eastAsia" w:ascii="仿宋" w:hAnsi="仿宋" w:eastAsia="仿宋" w:cs="仿宋"/>
          <w:color w:val="auto"/>
          <w:sz w:val="32"/>
          <w:szCs w:val="32"/>
          <w:lang w:val="en-US" w:eastAsia="zh-CN"/>
        </w:rPr>
        <w:t>严厉打击违法发包、转包、违法分包、挂靠、弄虚作假投标、围标串标、不履行合同约定等违法违规行为和行业乱象，坚决遏制“劣币驱逐良币”，持续营造公平有序的建设市场环境。</w:t>
      </w:r>
      <w:r>
        <w:rPr>
          <w:rFonts w:hint="eastAsia" w:ascii="仿宋" w:hAnsi="仿宋" w:eastAsia="仿宋" w:cs="仿宋"/>
          <w:color w:val="auto"/>
          <w:sz w:val="32"/>
          <w:szCs w:val="32"/>
          <w:lang w:bidi="ar"/>
        </w:rPr>
        <w:t>相关行业协会</w:t>
      </w:r>
      <w:r>
        <w:rPr>
          <w:rFonts w:hint="eastAsia" w:ascii="仿宋" w:hAnsi="仿宋" w:eastAsia="仿宋" w:cs="仿宋"/>
          <w:color w:val="auto"/>
          <w:sz w:val="32"/>
          <w:szCs w:val="32"/>
          <w:lang w:val="en-US" w:eastAsia="zh-CN" w:bidi="ar"/>
        </w:rPr>
        <w:t>要</w:t>
      </w:r>
      <w:r>
        <w:rPr>
          <w:rFonts w:hint="eastAsia" w:ascii="仿宋" w:hAnsi="仿宋" w:eastAsia="仿宋" w:cs="仿宋"/>
          <w:color w:val="auto"/>
          <w:sz w:val="32"/>
          <w:szCs w:val="32"/>
          <w:lang w:bidi="ar"/>
        </w:rPr>
        <w:t>主动作为，</w:t>
      </w:r>
      <w:r>
        <w:rPr>
          <w:rFonts w:hint="eastAsia" w:ascii="仿宋" w:hAnsi="仿宋" w:eastAsia="仿宋" w:cs="仿宋"/>
          <w:color w:val="auto"/>
          <w:sz w:val="32"/>
          <w:szCs w:val="32"/>
          <w:lang w:eastAsia="zh-CN" w:bidi="ar"/>
        </w:rPr>
        <w:t>规范会员单位市场行为，</w:t>
      </w:r>
      <w:r>
        <w:rPr>
          <w:rFonts w:hint="eastAsia" w:ascii="仿宋" w:hAnsi="仿宋" w:eastAsia="仿宋" w:cs="仿宋"/>
          <w:color w:val="auto"/>
          <w:sz w:val="32"/>
          <w:szCs w:val="32"/>
          <w:lang w:bidi="ar"/>
        </w:rPr>
        <w:t>为</w:t>
      </w:r>
      <w:r>
        <w:rPr>
          <w:rFonts w:hint="eastAsia" w:ascii="仿宋" w:hAnsi="仿宋" w:eastAsia="仿宋" w:cs="仿宋"/>
          <w:color w:val="auto"/>
          <w:sz w:val="32"/>
          <w:szCs w:val="32"/>
          <w:lang w:eastAsia="zh-CN" w:bidi="ar"/>
        </w:rPr>
        <w:t>民营建筑业企业</w:t>
      </w:r>
      <w:r>
        <w:rPr>
          <w:rFonts w:hint="eastAsia" w:ascii="仿宋" w:hAnsi="仿宋" w:eastAsia="仿宋" w:cs="仿宋"/>
          <w:color w:val="auto"/>
          <w:sz w:val="32"/>
          <w:szCs w:val="32"/>
          <w:lang w:bidi="ar"/>
        </w:rPr>
        <w:t>持续健康发展搭建平台、提供高质量服务。健全完善</w:t>
      </w:r>
      <w:r>
        <w:rPr>
          <w:rFonts w:hint="eastAsia" w:ascii="仿宋" w:hAnsi="仿宋" w:eastAsia="仿宋" w:cs="仿宋"/>
          <w:color w:val="auto"/>
          <w:sz w:val="32"/>
          <w:szCs w:val="32"/>
          <w:lang w:eastAsia="zh-CN" w:bidi="ar"/>
        </w:rPr>
        <w:t>民营建筑业企业</w:t>
      </w:r>
      <w:r>
        <w:rPr>
          <w:rFonts w:hint="eastAsia" w:ascii="仿宋" w:hAnsi="仿宋" w:eastAsia="仿宋" w:cs="仿宋"/>
          <w:color w:val="auto"/>
          <w:sz w:val="32"/>
          <w:szCs w:val="32"/>
          <w:lang w:bidi="ar"/>
        </w:rPr>
        <w:t>合同纠纷法律救济机制，按照“总对总”机制充分发挥联调组织作用，帮助</w:t>
      </w:r>
      <w:r>
        <w:rPr>
          <w:rFonts w:hint="eastAsia" w:ascii="仿宋" w:hAnsi="仿宋" w:eastAsia="仿宋" w:cs="仿宋"/>
          <w:color w:val="auto"/>
          <w:sz w:val="32"/>
          <w:szCs w:val="32"/>
          <w:lang w:eastAsia="zh-CN" w:bidi="ar"/>
        </w:rPr>
        <w:t>民营建筑业企业</w:t>
      </w:r>
      <w:r>
        <w:rPr>
          <w:rFonts w:hint="eastAsia" w:ascii="仿宋" w:hAnsi="仿宋" w:eastAsia="仿宋" w:cs="仿宋"/>
          <w:color w:val="auto"/>
          <w:sz w:val="32"/>
          <w:szCs w:val="32"/>
          <w:lang w:bidi="ar"/>
        </w:rPr>
        <w:t>化解矛盾纠纷。</w:t>
      </w:r>
      <w:r>
        <w:rPr>
          <w:rFonts w:hint="eastAsia" w:ascii="楷体" w:hAnsi="楷体" w:eastAsia="楷体" w:cs="楷体"/>
          <w:b w:val="0"/>
          <w:bCs w:val="0"/>
          <w:color w:val="auto"/>
          <w:kern w:val="2"/>
          <w:sz w:val="32"/>
          <w:szCs w:val="32"/>
          <w:lang w:val="en-US" w:eastAsia="zh-CN"/>
        </w:rPr>
        <w:t>（自治区高级人民法院、自然资源厅、生态环境厅、住房城乡建设厅、交通运输厅、水利厅、农牧厅、能源局、林草局按照职能职责分别负责）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rPr>
      </w:pPr>
      <w:r>
        <w:rPr>
          <w:rFonts w:hint="eastAsia" w:ascii="仿宋" w:hAnsi="仿宋" w:eastAsia="仿宋" w:cs="仿宋"/>
          <w:color w:val="000000"/>
          <w:sz w:val="32"/>
          <w:szCs w:val="32"/>
          <w:lang w:val="en-US" w:eastAsia="zh-CN" w:bidi="ar"/>
        </w:rPr>
        <w:t>自治区各有关部门单位要</w:t>
      </w:r>
      <w:r>
        <w:rPr>
          <w:rFonts w:hint="eastAsia" w:ascii="仿宋" w:hAnsi="仿宋" w:eastAsia="仿宋" w:cs="仿宋"/>
          <w:color w:val="auto"/>
          <w:sz w:val="32"/>
          <w:szCs w:val="32"/>
          <w:lang w:val="en-US" w:eastAsia="zh-CN" w:bidi="ar"/>
        </w:rPr>
        <w:t>按照职能职责</w:t>
      </w:r>
      <w:r>
        <w:rPr>
          <w:rFonts w:hint="eastAsia" w:ascii="仿宋" w:hAnsi="仿宋" w:eastAsia="仿宋" w:cs="仿宋"/>
          <w:color w:val="000000"/>
          <w:sz w:val="32"/>
          <w:szCs w:val="32"/>
          <w:lang w:val="en-US" w:eastAsia="zh-CN" w:bidi="ar"/>
        </w:rPr>
        <w:t>细化落实举措，加强协同配合，共同推动各项措施落实落地。</w:t>
      </w:r>
      <w:r>
        <w:rPr>
          <w:rFonts w:hint="eastAsia" w:ascii="仿宋" w:hAnsi="仿宋" w:eastAsia="仿宋" w:cs="仿宋"/>
          <w:color w:val="auto"/>
          <w:sz w:val="32"/>
          <w:szCs w:val="32"/>
          <w:lang w:val="en-US" w:eastAsia="zh-CN" w:bidi="ar"/>
        </w:rPr>
        <w:t>旗县级以上地方人民政府住房城乡建设部门</w:t>
      </w:r>
      <w:r>
        <w:rPr>
          <w:rFonts w:hint="eastAsia" w:ascii="仿宋" w:hAnsi="仿宋" w:eastAsia="仿宋" w:cs="仿宋"/>
          <w:color w:val="auto"/>
          <w:sz w:val="32"/>
          <w:szCs w:val="32"/>
          <w:lang w:bidi="ar"/>
        </w:rPr>
        <w:t>要落实属地责任，建立涉企重大问题定期会商机制，研究</w:t>
      </w:r>
      <w:r>
        <w:rPr>
          <w:rFonts w:hint="eastAsia" w:ascii="仿宋" w:hAnsi="仿宋" w:eastAsia="仿宋" w:cs="仿宋"/>
          <w:color w:val="auto"/>
          <w:sz w:val="32"/>
          <w:szCs w:val="32"/>
          <w:lang w:eastAsia="zh-CN" w:bidi="ar"/>
        </w:rPr>
        <w:t>推动</w:t>
      </w:r>
      <w:r>
        <w:rPr>
          <w:rFonts w:hint="eastAsia" w:ascii="仿宋" w:hAnsi="仿宋" w:eastAsia="仿宋" w:cs="仿宋"/>
          <w:color w:val="auto"/>
          <w:sz w:val="32"/>
          <w:szCs w:val="32"/>
          <w:lang w:bidi="ar"/>
        </w:rPr>
        <w:t>解决困难问题</w:t>
      </w:r>
      <w:r>
        <w:rPr>
          <w:rFonts w:hint="eastAsia" w:ascii="仿宋" w:hAnsi="仿宋" w:eastAsia="仿宋" w:cs="仿宋"/>
          <w:color w:val="auto"/>
          <w:sz w:val="32"/>
          <w:szCs w:val="32"/>
          <w:lang w:eastAsia="zh-CN" w:bidi="ar"/>
        </w:rPr>
        <w:t>，主动</w:t>
      </w:r>
      <w:r>
        <w:rPr>
          <w:rFonts w:hint="eastAsia" w:ascii="仿宋" w:hAnsi="仿宋" w:eastAsia="仿宋" w:cs="仿宋"/>
          <w:color w:val="auto"/>
          <w:kern w:val="2"/>
          <w:sz w:val="32"/>
          <w:szCs w:val="32"/>
          <w:lang w:val="en-US" w:eastAsia="zh-CN" w:bidi="ar-SA"/>
        </w:rPr>
        <w:t>向社会推介优质民营建筑业企业。</w:t>
      </w:r>
      <w:bookmarkEnd w:id="1"/>
    </w:p>
    <w:bookmarkEnd w:id="2"/>
    <w:p>
      <w:pPr>
        <w:pStyle w:val="2"/>
        <w:keepNext w:val="0"/>
        <w:keepLines w:val="0"/>
        <w:pageBreakBefore w:val="0"/>
        <w:widowControl w:val="0"/>
        <w:kinsoku/>
        <w:wordWrap/>
        <w:overflowPunct/>
        <w:topLinePunct w:val="0"/>
        <w:autoSpaceDE/>
        <w:autoSpaceDN/>
        <w:bidi w:val="0"/>
        <w:adjustRightInd/>
        <w:snapToGrid/>
        <w:spacing w:line="580" w:lineRule="exact"/>
        <w:ind w:firstLine="40"/>
        <w:textAlignment w:val="auto"/>
        <w:rPr>
          <w:rFonts w:hint="eastAsia"/>
        </w:rPr>
      </w:pPr>
    </w:p>
    <w:p>
      <w:pPr>
        <w:rPr>
          <w:rFonts w:hint="eastAsia"/>
        </w:rPr>
      </w:pPr>
    </w:p>
    <w:tbl>
      <w:tblPr>
        <w:tblStyle w:val="12"/>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spacing w:line="400" w:lineRule="exact"/>
              <w:ind w:firstLine="280" w:firstLineChars="100"/>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spacing w:line="400" w:lineRule="exact"/>
              <w:rPr>
                <w:rFonts w:hint="eastAsia" w:ascii="仿宋" w:hAnsi="仿宋" w:eastAsia="仿宋" w:cs="仿宋"/>
                <w:sz w:val="28"/>
                <w:lang w:eastAsia="zh-CN"/>
              </w:rPr>
            </w:pPr>
            <w:r>
              <w:rPr>
                <w:rFonts w:hint="eastAsia" w:ascii="仿宋" w:hAnsi="仿宋" w:eastAsia="仿宋" w:cs="仿宋"/>
                <w:sz w:val="28"/>
                <w:lang w:val="en-US" w:eastAsia="zh-CN"/>
              </w:rPr>
              <w:t xml:space="preserve">        </w:t>
            </w:r>
            <w:r>
              <w:rPr>
                <w:rFonts w:hint="eastAsia" w:ascii="仿宋" w:hAnsi="仿宋" w:eastAsia="仿宋" w:cs="仿宋"/>
                <w:sz w:val="28"/>
              </w:rPr>
              <w:t>自治区人大常委会办公厅</w:t>
            </w:r>
            <w:r>
              <w:rPr>
                <w:rFonts w:hint="eastAsia" w:ascii="仿宋" w:hAnsi="仿宋" w:eastAsia="仿宋" w:cs="仿宋"/>
                <w:sz w:val="28"/>
                <w:lang w:eastAsia="zh-CN"/>
              </w:rPr>
              <w:t>，自治区</w:t>
            </w:r>
            <w:r>
              <w:rPr>
                <w:rFonts w:hint="eastAsia" w:ascii="仿宋" w:hAnsi="仿宋" w:eastAsia="仿宋" w:cs="仿宋"/>
                <w:sz w:val="28"/>
              </w:rPr>
              <w:t>政协办公厅，</w:t>
            </w:r>
            <w:r>
              <w:rPr>
                <w:rFonts w:hint="eastAsia" w:ascii="仿宋" w:hAnsi="仿宋" w:eastAsia="仿宋" w:cs="仿宋"/>
                <w:sz w:val="28"/>
                <w:lang w:eastAsia="zh-CN"/>
              </w:rPr>
              <w:t>自治区监委，</w:t>
            </w:r>
          </w:p>
          <w:p>
            <w:pPr>
              <w:spacing w:line="400" w:lineRule="exac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自治区高</w:t>
            </w:r>
            <w:r>
              <w:rPr>
                <w:rFonts w:hint="eastAsia" w:ascii="仿宋" w:hAnsi="仿宋" w:eastAsia="仿宋" w:cs="仿宋"/>
                <w:sz w:val="28"/>
              </w:rPr>
              <w:t>级人民法院，</w:t>
            </w:r>
            <w:r>
              <w:rPr>
                <w:rFonts w:hint="eastAsia" w:ascii="仿宋" w:hAnsi="仿宋" w:eastAsia="仿宋" w:cs="仿宋"/>
                <w:sz w:val="28"/>
                <w:lang w:eastAsia="zh-CN"/>
              </w:rPr>
              <w:t>自治区人民</w:t>
            </w:r>
            <w:r>
              <w:rPr>
                <w:rFonts w:hint="eastAsia" w:ascii="仿宋" w:hAnsi="仿宋" w:eastAsia="仿宋" w:cs="仿宋"/>
                <w:sz w:val="28"/>
              </w:rPr>
              <w:t>检察院。</w:t>
            </w:r>
          </w:p>
          <w:p>
            <w:pPr>
              <w:spacing w:line="400" w:lineRule="exac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各民主党派区委会，</w:t>
            </w: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ind w:firstLine="280" w:firstLineChars="100"/>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6</w:t>
            </w:r>
            <w:r>
              <w:rPr>
                <w:rFonts w:hint="eastAsia" w:ascii="仿宋" w:hAnsi="仿宋" w:eastAsia="仿宋" w:cs="仿宋"/>
                <w:sz w:val="28"/>
              </w:rPr>
              <w:t>年</w:t>
            </w:r>
            <w:r>
              <w:rPr>
                <w:rFonts w:hint="eastAsia" w:ascii="仿宋" w:hAnsi="仿宋" w:eastAsia="仿宋" w:cs="仿宋"/>
                <w:sz w:val="28"/>
                <w:lang w:val="en-US" w:eastAsia="zh-CN"/>
              </w:rPr>
              <w:t>5</w:t>
            </w:r>
            <w:r>
              <w:rPr>
                <w:rFonts w:hint="eastAsia" w:ascii="仿宋" w:hAnsi="仿宋" w:eastAsia="仿宋" w:cs="仿宋"/>
                <w:sz w:val="28"/>
              </w:rPr>
              <w:t>月</w:t>
            </w:r>
            <w:r>
              <w:rPr>
                <w:rFonts w:hint="eastAsia" w:ascii="仿宋" w:hAnsi="仿宋" w:eastAsia="仿宋" w:cs="仿宋"/>
                <w:sz w:val="28"/>
                <w:lang w:val="en-US" w:eastAsia="zh-CN"/>
              </w:rPr>
              <w:t>15</w:t>
            </w:r>
            <w:r>
              <w:rPr>
                <w:rFonts w:hint="eastAsia" w:ascii="仿宋" w:hAnsi="仿宋" w:eastAsia="仿宋" w:cs="仿宋"/>
                <w:sz w:val="28"/>
              </w:rPr>
              <w:t>日印发</w:t>
            </w:r>
          </w:p>
        </w:tc>
      </w:tr>
    </w:tbl>
    <w:p>
      <w:pPr>
        <w:rPr>
          <w:rFonts w:hint="eastAsia"/>
        </w:rPr>
      </w:pPr>
      <w:r>
        <w:rPr>
          <w:rFonts w:hint="eastAsia" w:eastAsia="宋体"/>
          <w:sz w:val="52"/>
          <w:szCs w:val="52"/>
          <w:lang w:eastAsia="zh-CN"/>
        </w:rPr>
        <w:drawing>
          <wp:anchor distT="0" distB="0" distL="114300" distR="114300" simplePos="0" relativeHeight="251659264" behindDoc="0" locked="0" layoutInCell="1" allowOverlap="1">
            <wp:simplePos x="0" y="0"/>
            <wp:positionH relativeFrom="column">
              <wp:posOffset>3778250</wp:posOffset>
            </wp:positionH>
            <wp:positionV relativeFrom="paragraph">
              <wp:posOffset>239395</wp:posOffset>
            </wp:positionV>
            <wp:extent cx="1760220" cy="467995"/>
            <wp:effectExtent l="0" t="0" r="11430" b="8255"/>
            <wp:wrapSquare wrapText="bothSides"/>
            <wp:docPr id="1" name="图片 6" descr="20260518113833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0260518113833_7056"/>
                    <pic:cNvPicPr>
                      <a:picLocks noChangeAspect="1"/>
                    </pic:cNvPicPr>
                  </pic:nvPicPr>
                  <pic:blipFill>
                    <a:blip r:embed="rId8"/>
                    <a:stretch>
                      <a:fillRect/>
                    </a:stretch>
                  </pic:blipFill>
                  <pic:spPr>
                    <a:xfrm>
                      <a:off x="0" y="0"/>
                      <a:ext cx="1760220" cy="46799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51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9A1B3E"/>
    <w:rsid w:val="02AD6AB8"/>
    <w:rsid w:val="02D84023"/>
    <w:rsid w:val="04C93849"/>
    <w:rsid w:val="061B1A2C"/>
    <w:rsid w:val="074D26E8"/>
    <w:rsid w:val="088445D6"/>
    <w:rsid w:val="0ACD69C7"/>
    <w:rsid w:val="0D930889"/>
    <w:rsid w:val="10AA3895"/>
    <w:rsid w:val="110F26B1"/>
    <w:rsid w:val="12F46255"/>
    <w:rsid w:val="13404ED0"/>
    <w:rsid w:val="14280A09"/>
    <w:rsid w:val="1A7D41CF"/>
    <w:rsid w:val="1A84089A"/>
    <w:rsid w:val="1AE36F73"/>
    <w:rsid w:val="1B852BE2"/>
    <w:rsid w:val="1CBFB503"/>
    <w:rsid w:val="1F0C5B87"/>
    <w:rsid w:val="1FBF457D"/>
    <w:rsid w:val="1FD3237E"/>
    <w:rsid w:val="216C7268"/>
    <w:rsid w:val="21CE0EBF"/>
    <w:rsid w:val="228E29DA"/>
    <w:rsid w:val="23485E58"/>
    <w:rsid w:val="24485B15"/>
    <w:rsid w:val="26D51A27"/>
    <w:rsid w:val="270733C4"/>
    <w:rsid w:val="27913CE5"/>
    <w:rsid w:val="290A5D75"/>
    <w:rsid w:val="2A263B34"/>
    <w:rsid w:val="2D393DCD"/>
    <w:rsid w:val="2F3407F4"/>
    <w:rsid w:val="2FE657C6"/>
    <w:rsid w:val="30336D17"/>
    <w:rsid w:val="31620222"/>
    <w:rsid w:val="33BA52ED"/>
    <w:rsid w:val="377DC6E8"/>
    <w:rsid w:val="37B3323B"/>
    <w:rsid w:val="37FE9A7E"/>
    <w:rsid w:val="38E6021E"/>
    <w:rsid w:val="3A4F371C"/>
    <w:rsid w:val="3B384DBE"/>
    <w:rsid w:val="3E6823E8"/>
    <w:rsid w:val="3EAF8399"/>
    <w:rsid w:val="3FA63468"/>
    <w:rsid w:val="3FFD5BF5"/>
    <w:rsid w:val="41AE1D1F"/>
    <w:rsid w:val="42067BB5"/>
    <w:rsid w:val="4224574B"/>
    <w:rsid w:val="456E4695"/>
    <w:rsid w:val="46F60F87"/>
    <w:rsid w:val="476D158E"/>
    <w:rsid w:val="48E9042E"/>
    <w:rsid w:val="49F80AF3"/>
    <w:rsid w:val="4A456A7E"/>
    <w:rsid w:val="4AD37E94"/>
    <w:rsid w:val="4BB12688"/>
    <w:rsid w:val="4CE17311"/>
    <w:rsid w:val="4EFC2249"/>
    <w:rsid w:val="4F35DB13"/>
    <w:rsid w:val="4F3F2E1E"/>
    <w:rsid w:val="50E56F0A"/>
    <w:rsid w:val="514C35D0"/>
    <w:rsid w:val="51650C56"/>
    <w:rsid w:val="527FA69B"/>
    <w:rsid w:val="53BC13E0"/>
    <w:rsid w:val="53FD5947"/>
    <w:rsid w:val="555561E9"/>
    <w:rsid w:val="564A26EB"/>
    <w:rsid w:val="57DFDD32"/>
    <w:rsid w:val="5A371524"/>
    <w:rsid w:val="5ACF0AFF"/>
    <w:rsid w:val="5BAE3879"/>
    <w:rsid w:val="5BBC037E"/>
    <w:rsid w:val="5DFE88B5"/>
    <w:rsid w:val="5E7EB9D4"/>
    <w:rsid w:val="5F473629"/>
    <w:rsid w:val="5F5B8AB7"/>
    <w:rsid w:val="5F853A32"/>
    <w:rsid w:val="5FB70965"/>
    <w:rsid w:val="5FDA31F9"/>
    <w:rsid w:val="619D5C96"/>
    <w:rsid w:val="64B86B45"/>
    <w:rsid w:val="65FF2CFD"/>
    <w:rsid w:val="662933E5"/>
    <w:rsid w:val="662F4F04"/>
    <w:rsid w:val="6AF7DE69"/>
    <w:rsid w:val="6DAF8E6A"/>
    <w:rsid w:val="6DBF8EE5"/>
    <w:rsid w:val="6F2C465B"/>
    <w:rsid w:val="700A0263"/>
    <w:rsid w:val="719F311C"/>
    <w:rsid w:val="7290250B"/>
    <w:rsid w:val="73E42442"/>
    <w:rsid w:val="753FD5C3"/>
    <w:rsid w:val="756DAC5D"/>
    <w:rsid w:val="75957ED2"/>
    <w:rsid w:val="75FF2E83"/>
    <w:rsid w:val="76015505"/>
    <w:rsid w:val="7773761C"/>
    <w:rsid w:val="77D64C1D"/>
    <w:rsid w:val="77DD213B"/>
    <w:rsid w:val="782D47D9"/>
    <w:rsid w:val="7993773F"/>
    <w:rsid w:val="79DF6CAA"/>
    <w:rsid w:val="7AAF2928"/>
    <w:rsid w:val="7B3E65B9"/>
    <w:rsid w:val="7BBFAF3B"/>
    <w:rsid w:val="7C3133EA"/>
    <w:rsid w:val="7C9D2DD9"/>
    <w:rsid w:val="7D164783"/>
    <w:rsid w:val="7DD01CD8"/>
    <w:rsid w:val="7DF2CF1E"/>
    <w:rsid w:val="7DF7BDD1"/>
    <w:rsid w:val="7DFBBF96"/>
    <w:rsid w:val="7DFF4E19"/>
    <w:rsid w:val="7E5E58A9"/>
    <w:rsid w:val="7E960D71"/>
    <w:rsid w:val="7ED56B3A"/>
    <w:rsid w:val="7EE49BB1"/>
    <w:rsid w:val="7EF799D9"/>
    <w:rsid w:val="7EFE19B2"/>
    <w:rsid w:val="7F035DF8"/>
    <w:rsid w:val="7F3E511F"/>
    <w:rsid w:val="7F6E2108"/>
    <w:rsid w:val="7F7C4129"/>
    <w:rsid w:val="7FA7A0F4"/>
    <w:rsid w:val="7FA7C82B"/>
    <w:rsid w:val="7FCA435E"/>
    <w:rsid w:val="7FCF3692"/>
    <w:rsid w:val="7FDF60D3"/>
    <w:rsid w:val="7FEE4B2C"/>
    <w:rsid w:val="7FFB884E"/>
    <w:rsid w:val="9FE713B0"/>
    <w:rsid w:val="A527FE73"/>
    <w:rsid w:val="AE6D1DF4"/>
    <w:rsid w:val="AFF60F92"/>
    <w:rsid w:val="B2F782D1"/>
    <w:rsid w:val="B2FE3098"/>
    <w:rsid w:val="BCFEEC46"/>
    <w:rsid w:val="BEE7F3EB"/>
    <w:rsid w:val="BF6A01E8"/>
    <w:rsid w:val="BFFF4551"/>
    <w:rsid w:val="CF5981BB"/>
    <w:rsid w:val="CFDB043A"/>
    <w:rsid w:val="CFEFEDEC"/>
    <w:rsid w:val="D79EE64F"/>
    <w:rsid w:val="DE37B989"/>
    <w:rsid w:val="DEF17F13"/>
    <w:rsid w:val="DFBFD20F"/>
    <w:rsid w:val="DFEDCE9C"/>
    <w:rsid w:val="E59E1693"/>
    <w:rsid w:val="EBFF0E40"/>
    <w:rsid w:val="EE6F79A6"/>
    <w:rsid w:val="EFDFC75A"/>
    <w:rsid w:val="F3D15286"/>
    <w:rsid w:val="F6736C0E"/>
    <w:rsid w:val="F7B774CF"/>
    <w:rsid w:val="F7BECC30"/>
    <w:rsid w:val="F7C3C488"/>
    <w:rsid w:val="F87F8679"/>
    <w:rsid w:val="FBFFADD1"/>
    <w:rsid w:val="FCFF7B4A"/>
    <w:rsid w:val="FD77468E"/>
    <w:rsid w:val="FDDFF04E"/>
    <w:rsid w:val="FDF33E89"/>
    <w:rsid w:val="FDFD3486"/>
    <w:rsid w:val="FEB954C2"/>
    <w:rsid w:val="FEDEAD9F"/>
    <w:rsid w:val="FF8B8422"/>
    <w:rsid w:val="FFBFBB26"/>
    <w:rsid w:val="FFDB4C2D"/>
    <w:rsid w:val="FFF1B703"/>
    <w:rsid w:val="FFFF7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4"/>
    <w:qFormat/>
    <w:uiPriority w:val="0"/>
    <w:pPr>
      <w:spacing w:after="120"/>
      <w:ind w:left="420" w:leftChars="200"/>
    </w:pPr>
    <w:rPr>
      <w:rFonts w:ascii="Calibri" w:hAnsi="Calibri" w:eastAsia="宋体" w:cs="Mongolian Baiti"/>
      <w:szCs w:val="28"/>
      <w:lang w:bidi="mn-Mong-CN"/>
    </w:rPr>
  </w:style>
  <w:style w:type="paragraph" w:styleId="4">
    <w:name w:val="header"/>
    <w:basedOn w:val="1"/>
    <w:next w:val="5"/>
    <w:link w:val="17"/>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link w:val="18"/>
    <w:uiPriority w:val="0"/>
    <w:pPr>
      <w:tabs>
        <w:tab w:val="center" w:pos="4153"/>
        <w:tab w:val="right" w:pos="8306"/>
      </w:tabs>
      <w:snapToGrid w:val="0"/>
      <w:jc w:val="left"/>
    </w:pPr>
    <w:rPr>
      <w:sz w:val="18"/>
      <w:szCs w:val="18"/>
    </w:rPr>
  </w:style>
  <w:style w:type="paragraph" w:styleId="6">
    <w:name w:val="Document Map"/>
    <w:basedOn w:val="1"/>
    <w:semiHidden/>
    <w:uiPriority w:val="0"/>
    <w:pPr>
      <w:shd w:val="clear" w:color="auto" w:fill="000080"/>
    </w:pPr>
  </w:style>
  <w:style w:type="paragraph" w:styleId="7">
    <w:name w:val="Body Text"/>
    <w:basedOn w:val="1"/>
    <w:qFormat/>
    <w:uiPriority w:val="0"/>
    <w:pPr>
      <w:spacing w:after="120"/>
    </w:pPr>
    <w:rPr>
      <w:rFonts w:ascii="Times New Roman" w:hAnsi="Times New Roman" w:eastAsia="宋体" w:cs="Times New Roman"/>
      <w:szCs w:val="24"/>
      <w:lang w:bidi="ar-SA"/>
    </w:r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11">
    <w:name w:val="Body Text First Indent"/>
    <w:basedOn w:val="7"/>
    <w:unhideWhenUsed/>
    <w:qFormat/>
    <w:uiPriority w:val="99"/>
    <w:pPr>
      <w:ind w:firstLine="420" w:firstLineChars="100"/>
    </w:p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OfficeAI-版头-发文字号"/>
    <w:basedOn w:val="1"/>
    <w:qFormat/>
    <w:uiPriority w:val="0"/>
    <w:pPr>
      <w:jc w:val="center"/>
    </w:pPr>
    <w:rPr>
      <w:rFonts w:hint="eastAsia" w:ascii="仿宋_GB2312" w:hAnsi="仿宋_GB2312" w:eastAsia="仿宋_GB2312" w:cs="仿宋_GB2312"/>
      <w:color w:val="000000"/>
      <w:sz w:val="32"/>
      <w:szCs w:val="24"/>
      <w:lang w:bidi="ar-SA"/>
    </w:rPr>
  </w:style>
  <w:style w:type="character" w:customStyle="1" w:styleId="17">
    <w:name w:val=" Char Char1"/>
    <w:basedOn w:val="14"/>
    <w:link w:val="4"/>
    <w:semiHidden/>
    <w:uiPriority w:val="99"/>
    <w:rPr>
      <w:rFonts w:ascii="Calibri" w:hAnsi="Calibri" w:eastAsia="宋体" w:cs="Mongolian Baiti"/>
      <w:kern w:val="2"/>
      <w:sz w:val="18"/>
      <w:szCs w:val="22"/>
    </w:rPr>
  </w:style>
  <w:style w:type="character" w:customStyle="1" w:styleId="18">
    <w:name w:val=" Char Char"/>
    <w:basedOn w:val="14"/>
    <w:link w:val="5"/>
    <w:semiHidden/>
    <w:uiPriority w:val="99"/>
    <w:rPr>
      <w:rFonts w:ascii="Calibri" w:hAnsi="Calibri" w:eastAsia="宋体" w:cs="Mongolian Baiti"/>
      <w:kern w:val="2"/>
      <w:sz w:val="18"/>
      <w:szCs w:val="22"/>
    </w:rPr>
  </w:style>
  <w:style w:type="character" w:customStyle="1" w:styleId="19">
    <w:name w:val=" Char Char2"/>
    <w:basedOn w:val="14"/>
    <w:link w:val="8"/>
    <w:uiPriority w:val="0"/>
    <w:rPr>
      <w:rFonts w:ascii="仿宋_GB2312" w:hAnsi="Times New Roman" w:eastAsia="仿宋_GB2312" w:cs="Times New Roman"/>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哈斯高娃:通知发起人</cp:lastModifiedBy>
  <dcterms:modified xsi:type="dcterms:W3CDTF">2026-05-25T03:13:30Z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705BE7E068E6A6535103106A5AE33837</vt:lpwstr>
  </property>
</Properties>
</file>