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5D1BB">
      <w:pPr>
        <w:keepNext w:val="0"/>
        <w:keepLines w:val="0"/>
        <w:pageBreakBefore w:val="0"/>
        <w:widowControl w:val="0"/>
        <w:kinsoku/>
        <w:wordWrap w:val="0"/>
        <w:overflowPunct/>
        <w:topLinePunct w:val="0"/>
        <w:autoSpaceDE/>
        <w:autoSpaceDN/>
        <w:bidi w:val="0"/>
        <w:adjustRightInd w:val="0"/>
        <w:snapToGrid w:val="0"/>
        <w:spacing w:line="640" w:lineRule="exact"/>
        <w:ind w:left="0" w:right="0"/>
        <w:textAlignment w:val="auto"/>
        <w:rPr>
          <w:rFonts w:hint="eastAsia" w:ascii="仿宋" w:hAnsi="仿宋" w:eastAsia="仿宋" w:cs="仿宋"/>
          <w:sz w:val="32"/>
          <w:szCs w:val="32"/>
        </w:rPr>
      </w:pPr>
      <w:bookmarkStart w:id="0" w:name="标题"/>
      <w:bookmarkEnd w:id="0"/>
    </w:p>
    <w:p w14:paraId="6D7EDE3A">
      <w:pPr>
        <w:keepNext w:val="0"/>
        <w:keepLines w:val="0"/>
        <w:pageBreakBefore w:val="0"/>
        <w:widowControl w:val="0"/>
        <w:kinsoku/>
        <w:wordWrap w:val="0"/>
        <w:overflowPunct/>
        <w:topLinePunct w:val="0"/>
        <w:autoSpaceDE/>
        <w:autoSpaceDN/>
        <w:bidi w:val="0"/>
        <w:spacing w:line="640" w:lineRule="exact"/>
        <w:jc w:val="center"/>
        <w:textAlignment w:val="auto"/>
        <w:rPr>
          <w:rFonts w:hint="eastAsia" w:ascii="方正小标宋简体" w:eastAsia="方正小标宋简体"/>
          <w:color w:val="auto"/>
          <w:spacing w:val="17"/>
          <w:sz w:val="44"/>
          <w:szCs w:val="44"/>
          <w:lang w:eastAsia="zh-CN"/>
        </w:rPr>
      </w:pPr>
      <w:r>
        <w:rPr>
          <w:rFonts w:hint="eastAsia" w:ascii="方正小标宋简体" w:eastAsia="方正小标宋简体"/>
          <w:color w:val="auto"/>
          <w:spacing w:val="17"/>
          <w:sz w:val="44"/>
          <w:szCs w:val="44"/>
          <w:lang w:eastAsia="zh-CN"/>
        </w:rPr>
        <w:t>内蒙古自治区人民政府办公厅</w:t>
      </w:r>
    </w:p>
    <w:p w14:paraId="53BD12A9">
      <w:pPr>
        <w:keepNext w:val="0"/>
        <w:keepLines w:val="0"/>
        <w:pageBreakBefore w:val="0"/>
        <w:widowControl w:val="0"/>
        <w:kinsoku/>
        <w:wordWrap w:val="0"/>
        <w:overflowPunct/>
        <w:topLinePunct w:val="0"/>
        <w:autoSpaceDE/>
        <w:autoSpaceDN/>
        <w:bidi w:val="0"/>
        <w:spacing w:line="640" w:lineRule="exact"/>
        <w:jc w:val="center"/>
        <w:textAlignment w:val="auto"/>
        <w:rPr>
          <w:rFonts w:hint="eastAsia" w:ascii="方正小标宋简体" w:eastAsia="方正小标宋简体"/>
          <w:color w:val="auto"/>
          <w:sz w:val="44"/>
          <w:szCs w:val="44"/>
          <w:lang w:eastAsia="zh-CN"/>
        </w:rPr>
      </w:pPr>
      <w:bookmarkStart w:id="3" w:name="_GoBack"/>
      <w:bookmarkEnd w:id="3"/>
      <w:r>
        <w:rPr>
          <w:rFonts w:hint="eastAsia" w:ascii="方正小标宋简体" w:eastAsia="方正小标宋简体"/>
          <w:color w:val="auto"/>
          <w:sz w:val="44"/>
          <w:szCs w:val="44"/>
          <w:lang w:eastAsia="zh-CN"/>
        </w:rPr>
        <w:t>关于印发《内蒙古自治区综合评标专家库和</w:t>
      </w:r>
    </w:p>
    <w:p w14:paraId="6005E754">
      <w:pPr>
        <w:keepNext w:val="0"/>
        <w:keepLines w:val="0"/>
        <w:pageBreakBefore w:val="0"/>
        <w:widowControl w:val="0"/>
        <w:kinsoku/>
        <w:wordWrap w:val="0"/>
        <w:overflowPunct/>
        <w:topLinePunct w:val="0"/>
        <w:autoSpaceDE/>
        <w:autoSpaceDN/>
        <w:bidi w:val="0"/>
        <w:spacing w:line="640" w:lineRule="exact"/>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lang w:eastAsia="zh-CN"/>
        </w:rPr>
        <w:t>评标专家管理办法》的通知</w:t>
      </w:r>
    </w:p>
    <w:p w14:paraId="501BE3E0">
      <w:pPr>
        <w:keepNext w:val="0"/>
        <w:keepLines w:val="0"/>
        <w:pageBreakBefore w:val="0"/>
        <w:widowControl w:val="0"/>
        <w:kinsoku/>
        <w:wordWrap w:val="0"/>
        <w:overflowPunct/>
        <w:topLinePunct w:val="0"/>
        <w:autoSpaceDE/>
        <w:autoSpaceDN/>
        <w:bidi w:val="0"/>
        <w:spacing w:line="640" w:lineRule="exact"/>
        <w:jc w:val="center"/>
        <w:textAlignment w:val="auto"/>
        <w:rPr>
          <w:rFonts w:hint="eastAsia" w:ascii="方正小标宋简体" w:eastAsia="方正小标宋简体"/>
          <w:color w:val="auto"/>
          <w:sz w:val="44"/>
          <w:szCs w:val="44"/>
          <w:lang w:eastAsia="zh-CN"/>
        </w:rPr>
      </w:pPr>
    </w:p>
    <w:p w14:paraId="0B9D90A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内政办发〔2026〕</w:t>
      </w:r>
      <w:r>
        <w:rPr>
          <w:rFonts w:hint="eastAsia" w:ascii="仿宋_GB2312" w:hAnsi="华文仿宋" w:eastAsia="仿宋_GB2312"/>
          <w:sz w:val="32"/>
          <w:lang w:val="en-US" w:eastAsia="zh-CN"/>
        </w:rPr>
        <w:t>9</w:t>
      </w:r>
      <w:r>
        <w:rPr>
          <w:rFonts w:hint="eastAsia" w:ascii="仿宋_GB2312" w:hAnsi="华文仿宋" w:eastAsia="仿宋_GB2312"/>
          <w:sz w:val="32"/>
          <w:lang w:eastAsia="zh-CN"/>
        </w:rPr>
        <w:t>号</w:t>
      </w:r>
    </w:p>
    <w:p w14:paraId="4BAAB0EF">
      <w:pPr>
        <w:keepNext w:val="0"/>
        <w:keepLines w:val="0"/>
        <w:pageBreakBefore w:val="0"/>
        <w:widowControl w:val="0"/>
        <w:kinsoku/>
        <w:wordWrap w:val="0"/>
        <w:overflowPunct/>
        <w:topLinePunct w:val="0"/>
        <w:autoSpaceDE/>
        <w:autoSpaceDN/>
        <w:bidi w:val="0"/>
        <w:spacing w:line="640" w:lineRule="exact"/>
        <w:jc w:val="center"/>
        <w:textAlignment w:val="auto"/>
        <w:rPr>
          <w:rFonts w:hint="eastAsia" w:ascii="方正小标宋简体" w:eastAsia="方正小标宋简体"/>
          <w:color w:val="auto"/>
          <w:sz w:val="44"/>
          <w:szCs w:val="44"/>
          <w:lang w:eastAsia="zh-CN"/>
        </w:rPr>
      </w:pPr>
    </w:p>
    <w:p w14:paraId="6387DA9B">
      <w:pPr>
        <w:keepNext w:val="0"/>
        <w:keepLines w:val="0"/>
        <w:pageBreakBefore w:val="0"/>
        <w:widowControl w:val="0"/>
        <w:kinsoku/>
        <w:wordWrap w:val="0"/>
        <w:overflowPunct/>
        <w:topLinePunct w:val="0"/>
        <w:autoSpaceDE/>
        <w:autoSpaceDN/>
        <w:bidi w:val="0"/>
        <w:adjustRightInd/>
        <w:snapToGrid/>
        <w:spacing w:line="640" w:lineRule="exact"/>
        <w:jc w:val="both"/>
        <w:textAlignment w:val="auto"/>
        <w:rPr>
          <w:rFonts w:hint="eastAsia" w:ascii="仿宋" w:hAnsi="仿宋" w:eastAsia="仿宋" w:cs="仿宋"/>
          <w:color w:val="auto"/>
          <w:sz w:val="32"/>
          <w:szCs w:val="32"/>
          <w:lang w:val="en-US" w:eastAsia="zh-CN"/>
        </w:rPr>
      </w:pPr>
      <w:bookmarkStart w:id="1" w:name="OLE_LINK1"/>
      <w:r>
        <w:rPr>
          <w:rFonts w:hint="eastAsia" w:ascii="仿宋" w:hAnsi="仿宋" w:eastAsia="仿宋" w:cs="仿宋"/>
          <w:color w:val="auto"/>
          <w:sz w:val="32"/>
          <w:szCs w:val="32"/>
          <w:lang w:val="en-US" w:eastAsia="zh-CN"/>
        </w:rPr>
        <w:t>各盟行政公署、市人民政府，自治区各委、办、厅、局，各大企业、事业单位：</w:t>
      </w:r>
    </w:p>
    <w:p w14:paraId="3AD05D31">
      <w:pPr>
        <w:keepNext w:val="0"/>
        <w:keepLines w:val="0"/>
        <w:pageBreakBefore w:val="0"/>
        <w:widowControl w:val="0"/>
        <w:kinsoku/>
        <w:wordWrap w:val="0"/>
        <w:overflowPunct/>
        <w:topLinePunct w:val="0"/>
        <w:autoSpaceDE/>
        <w:autoSpaceDN/>
        <w:bidi w:val="0"/>
        <w:adjustRightInd/>
        <w:snapToGrid/>
        <w:spacing w:line="640" w:lineRule="exact"/>
        <w:ind w:firstLine="664" w:firstLineChars="200"/>
        <w:jc w:val="both"/>
        <w:textAlignment w:val="auto"/>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经自治区人民政府同意，现将《内蒙古自治区综合评标专家库和评标专家管理办法》印发给你们，请结合实际，认真</w:t>
      </w:r>
      <w:r>
        <w:rPr>
          <w:rFonts w:hint="eastAsia" w:ascii="仿宋" w:hAnsi="仿宋" w:eastAsia="仿宋" w:cs="仿宋"/>
          <w:color w:val="auto"/>
          <w:spacing w:val="6"/>
          <w:sz w:val="32"/>
          <w:szCs w:val="32"/>
        </w:rPr>
        <w:t>遵照执行。</w:t>
      </w:r>
    </w:p>
    <w:p w14:paraId="6E57E52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14:paraId="4A27486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14:paraId="5793DB5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14:paraId="00736B1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p>
    <w:p w14:paraId="0500B4B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2026年4月15日</w:t>
      </w:r>
    </w:p>
    <w:p w14:paraId="7381408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（此件公开发布）</w:t>
      </w:r>
    </w:p>
    <w:p w14:paraId="2BE8B6E8">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color w:val="auto"/>
          <w:sz w:val="44"/>
          <w:szCs w:val="44"/>
        </w:rPr>
      </w:pPr>
    </w:p>
    <w:p w14:paraId="4142FCB6">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color w:val="auto"/>
          <w:sz w:val="44"/>
          <w:szCs w:val="44"/>
        </w:rPr>
      </w:pPr>
    </w:p>
    <w:p w14:paraId="202C371E">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color w:val="auto"/>
          <w:sz w:val="44"/>
          <w:szCs w:val="44"/>
        </w:rPr>
      </w:pPr>
    </w:p>
    <w:p w14:paraId="3C256E46">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color w:val="auto"/>
          <w:sz w:val="44"/>
          <w:szCs w:val="44"/>
        </w:rPr>
      </w:pPr>
    </w:p>
    <w:p w14:paraId="71FF9AE7">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内蒙古自治区综合评标专家库和</w:t>
      </w:r>
    </w:p>
    <w:p w14:paraId="0872C3F5">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评标专家管理办法</w:t>
      </w:r>
    </w:p>
    <w:p w14:paraId="10328C39">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color w:val="auto"/>
          <w:sz w:val="44"/>
          <w:szCs w:val="44"/>
        </w:rPr>
      </w:pPr>
    </w:p>
    <w:p w14:paraId="4751273B">
      <w:pPr>
        <w:keepNext w:val="0"/>
        <w:keepLines w:val="0"/>
        <w:pageBreakBefore w:val="0"/>
        <w:widowControl w:val="0"/>
        <w:kinsoku/>
        <w:wordWrap w:val="0"/>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14:paraId="4124685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第一条</w:t>
      </w:r>
      <w:r>
        <w:rPr>
          <w:rFonts w:hint="eastAsia" w:ascii="Times New Roman" w:hAnsi="Times New Roman" w:eastAsia="方正仿宋简体" w:cs="Times New Roman"/>
          <w:color w:val="auto"/>
          <w:sz w:val="32"/>
          <w:szCs w:val="32"/>
          <w:lang w:eastAsia="zh-CN"/>
        </w:rPr>
        <w:t xml:space="preserve">  </w:t>
      </w:r>
      <w:r>
        <w:rPr>
          <w:rFonts w:hint="eastAsia" w:ascii="仿宋_GB2312" w:hAnsi="仿宋_GB2312" w:eastAsia="仿宋_GB2312" w:cs="仿宋_GB2312"/>
          <w:color w:val="auto"/>
          <w:sz w:val="32"/>
          <w:szCs w:val="32"/>
        </w:rPr>
        <w:t>为</w:t>
      </w:r>
      <w:r>
        <w:rPr>
          <w:rFonts w:hint="eastAsia" w:ascii="仿宋" w:hAnsi="仿宋" w:eastAsia="仿宋" w:cs="仿宋"/>
          <w:color w:val="auto"/>
          <w:sz w:val="32"/>
          <w:szCs w:val="32"/>
          <w:lang w:eastAsia="zh-CN"/>
        </w:rPr>
        <w:t>认真落实自治区党委“</w:t>
      </w:r>
      <w:r>
        <w:rPr>
          <w:rFonts w:hint="eastAsia" w:ascii="仿宋" w:hAnsi="仿宋" w:eastAsia="仿宋" w:cs="仿宋"/>
          <w:color w:val="auto"/>
          <w:sz w:val="32"/>
          <w:szCs w:val="32"/>
          <w:lang w:val="en-US" w:eastAsia="zh-CN"/>
        </w:rPr>
        <w:t>1571</w:t>
      </w:r>
      <w:r>
        <w:rPr>
          <w:rFonts w:hint="eastAsia" w:ascii="仿宋" w:hAnsi="仿宋" w:eastAsia="仿宋" w:cs="仿宋"/>
          <w:color w:val="auto"/>
          <w:sz w:val="32"/>
          <w:szCs w:val="32"/>
          <w:lang w:eastAsia="zh-CN"/>
        </w:rPr>
        <w:t>”工作部署，</w:t>
      </w:r>
      <w:r>
        <w:rPr>
          <w:rFonts w:hint="eastAsia" w:ascii="仿宋" w:hAnsi="仿宋" w:eastAsia="仿宋" w:cs="仿宋"/>
          <w:color w:val="auto"/>
          <w:sz w:val="32"/>
          <w:szCs w:val="32"/>
          <w:u w:val="none"/>
          <w:lang w:eastAsia="zh-CN"/>
        </w:rPr>
        <w:t>以铸牢</w:t>
      </w:r>
      <w:r>
        <w:rPr>
          <w:rFonts w:hint="eastAsia" w:ascii="仿宋" w:hAnsi="仿宋" w:eastAsia="仿宋" w:cs="仿宋"/>
          <w:color w:val="auto"/>
          <w:sz w:val="32"/>
          <w:szCs w:val="32"/>
          <w:u w:val="none"/>
        </w:rPr>
        <w:t>中华民族共同体意识</w:t>
      </w:r>
      <w:r>
        <w:rPr>
          <w:rFonts w:hint="eastAsia" w:ascii="仿宋" w:hAnsi="仿宋" w:eastAsia="仿宋" w:cs="仿宋"/>
          <w:color w:val="auto"/>
          <w:sz w:val="32"/>
          <w:szCs w:val="32"/>
          <w:u w:val="none"/>
          <w:lang w:eastAsia="zh-CN"/>
        </w:rPr>
        <w:t>为</w:t>
      </w:r>
      <w:r>
        <w:rPr>
          <w:rFonts w:hint="eastAsia" w:ascii="仿宋" w:hAnsi="仿宋" w:eastAsia="仿宋" w:cs="仿宋"/>
          <w:color w:val="auto"/>
          <w:sz w:val="32"/>
          <w:szCs w:val="32"/>
          <w:u w:val="none"/>
        </w:rPr>
        <w:t>主线，</w:t>
      </w:r>
      <w:r>
        <w:rPr>
          <w:rFonts w:hint="eastAsia" w:ascii="仿宋" w:hAnsi="仿宋" w:eastAsia="仿宋" w:cs="仿宋"/>
          <w:color w:val="auto"/>
          <w:sz w:val="32"/>
          <w:szCs w:val="32"/>
          <w:lang w:eastAsia="zh-CN"/>
        </w:rPr>
        <w:t>全面</w:t>
      </w:r>
      <w:r>
        <w:rPr>
          <w:rFonts w:hint="eastAsia" w:ascii="仿宋" w:hAnsi="仿宋" w:eastAsia="仿宋" w:cs="仿宋"/>
          <w:color w:val="auto"/>
          <w:sz w:val="32"/>
          <w:szCs w:val="32"/>
        </w:rPr>
        <w:t>加强自治区综合评标专家库和评标专家管理，规范评标专家行为，提高评标工作质量，促进评标专家资源共享，保证评标活动公平公正，</w:t>
      </w:r>
      <w:r>
        <w:rPr>
          <w:rFonts w:hint="eastAsia" w:ascii="仿宋" w:hAnsi="仿宋" w:eastAsia="仿宋" w:cs="仿宋"/>
          <w:color w:val="auto"/>
          <w:sz w:val="32"/>
          <w:szCs w:val="32"/>
          <w:u w:val="none"/>
        </w:rPr>
        <w:t>根据《中华人民共和国招标投标法》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《中华人民共和国招标投标法实施条例》</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《评标专家和评标专家库管理办法》等法律</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法规</w:t>
      </w:r>
      <w:r>
        <w:rPr>
          <w:rFonts w:hint="eastAsia" w:ascii="仿宋" w:hAnsi="仿宋" w:eastAsia="仿宋" w:cs="仿宋"/>
          <w:color w:val="auto"/>
          <w:sz w:val="32"/>
          <w:szCs w:val="32"/>
          <w:u w:val="none"/>
          <w:lang w:eastAsia="zh-CN"/>
        </w:rPr>
        <w:t>、规章</w:t>
      </w:r>
      <w:r>
        <w:rPr>
          <w:rFonts w:hint="eastAsia" w:ascii="仿宋" w:hAnsi="仿宋" w:eastAsia="仿宋" w:cs="仿宋"/>
          <w:color w:val="auto"/>
          <w:sz w:val="32"/>
          <w:szCs w:val="32"/>
          <w:u w:val="none"/>
        </w:rPr>
        <w:t>，结合自治区实际，制定本办法。</w:t>
      </w:r>
    </w:p>
    <w:p w14:paraId="7D01327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本办法所称自治区综合评标专家库（以下简称自治</w:t>
      </w:r>
      <w:r>
        <w:rPr>
          <w:rFonts w:hint="eastAsia" w:ascii="仿宋" w:hAnsi="仿宋" w:eastAsia="仿宋" w:cs="仿宋"/>
          <w:color w:val="auto"/>
          <w:spacing w:val="-6"/>
          <w:sz w:val="32"/>
          <w:szCs w:val="32"/>
          <w:u w:val="none"/>
        </w:rPr>
        <w:t>区专家库）是指由自治区人民政府依法建立的跨地区跨行业，为</w:t>
      </w:r>
      <w:r>
        <w:rPr>
          <w:rFonts w:hint="eastAsia" w:ascii="仿宋" w:hAnsi="仿宋" w:eastAsia="仿宋" w:cs="仿宋"/>
          <w:color w:val="auto"/>
          <w:sz w:val="32"/>
          <w:szCs w:val="32"/>
          <w:u w:val="none"/>
        </w:rPr>
        <w:t>全区公共资源交易活动提供评标服务的综合性专家库。</w:t>
      </w:r>
    </w:p>
    <w:p w14:paraId="0C323B6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本办法所称评标专家（以下简称专家），是指按照国家和自治区规定的资格条件、分类标准等有关要求，纳入自治区专家库集中统一管理，以独立身份为招标人提供评标服务的专业人员。</w:t>
      </w:r>
    </w:p>
    <w:p w14:paraId="5BD980A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本办法适用于自治区专家库的建设、使用、管理，以及专家的征集、入库、抽取、考核和退出等。</w:t>
      </w:r>
    </w:p>
    <w:p w14:paraId="5D4A72F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自治区专家库的建设和使用，应当遵循统一建设、资源共享、管用分离、随机抽取的原则。专家管理应当坚持严格把关、动态调整、公开平等、竞争择优的原则。</w:t>
      </w:r>
    </w:p>
    <w:p w14:paraId="4AA214BE">
      <w:pPr>
        <w:keepNext w:val="0"/>
        <w:keepLines w:val="0"/>
        <w:pageBreakBefore w:val="0"/>
        <w:widowControl w:val="0"/>
        <w:kinsoku/>
        <w:wordWrap w:val="0"/>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组织管理</w:t>
      </w:r>
    </w:p>
    <w:p w14:paraId="38826DD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第五条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自治区各级发展改革部门负责指导和协调本级专家库和专家的管理工作。各级工业和信息化、自然资源、生态环</w:t>
      </w:r>
      <w:r>
        <w:rPr>
          <w:rFonts w:hint="eastAsia" w:ascii="仿宋" w:hAnsi="仿宋" w:eastAsia="仿宋" w:cs="仿宋"/>
          <w:color w:val="auto"/>
          <w:spacing w:val="-6"/>
          <w:sz w:val="32"/>
          <w:szCs w:val="32"/>
          <w:u w:val="none"/>
        </w:rPr>
        <w:t>境、住房城乡建设、交通运输、水利、农牧、商务、卫生健康、</w:t>
      </w:r>
      <w:r>
        <w:rPr>
          <w:rFonts w:hint="eastAsia" w:ascii="仿宋" w:hAnsi="仿宋" w:eastAsia="仿宋" w:cs="仿宋"/>
          <w:color w:val="auto"/>
          <w:sz w:val="32"/>
          <w:szCs w:val="32"/>
          <w:u w:val="none"/>
        </w:rPr>
        <w:t>国资、能源、林草等部门（以下</w:t>
      </w:r>
      <w:r>
        <w:rPr>
          <w:rFonts w:hint="eastAsia" w:ascii="仿宋" w:hAnsi="仿宋" w:eastAsia="仿宋" w:cs="仿宋"/>
          <w:color w:val="auto"/>
          <w:sz w:val="32"/>
          <w:szCs w:val="32"/>
          <w:u w:val="none"/>
          <w:lang w:eastAsia="zh-CN"/>
        </w:rPr>
        <w:t>统</w:t>
      </w:r>
      <w:r>
        <w:rPr>
          <w:rFonts w:hint="eastAsia" w:ascii="仿宋" w:hAnsi="仿宋" w:eastAsia="仿宋" w:cs="仿宋"/>
          <w:color w:val="auto"/>
          <w:sz w:val="32"/>
          <w:szCs w:val="32"/>
          <w:u w:val="none"/>
        </w:rPr>
        <w:t>称行政监督部门）负责组织各自分管行业专家的公开征集、入库审查、教育培训、考核评价和廉洁教育等监督管理工作。具体履行以下职责：</w:t>
      </w:r>
    </w:p>
    <w:p w14:paraId="2D496482">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（一）组织征集专家、入库审查、岗前培训、续聘审核；</w:t>
      </w:r>
    </w:p>
    <w:p w14:paraId="462C2486">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（二）组织对库内专家进行继续教育、廉洁教育、考核评价；</w:t>
      </w:r>
    </w:p>
    <w:p w14:paraId="6B3CAFF5">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（三）及时补充、更新、完善专家的专业类别和数量；</w:t>
      </w:r>
    </w:p>
    <w:p w14:paraId="4F7B670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（四）依法对评标委员会成员的确定方式、专家的抽取和评标活动进行监督；</w:t>
      </w:r>
    </w:p>
    <w:p w14:paraId="7EEE8D60">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（五）管理规范专家履职相关行为；</w:t>
      </w:r>
    </w:p>
    <w:p w14:paraId="74704C8E">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（六）依法查处专家相关违法违规行为，包括所监督项目专家的违法违规行为；</w:t>
      </w:r>
    </w:p>
    <w:p w14:paraId="4FA9C224">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（七）依法依规暂停、终止、取消专家资格；</w:t>
      </w:r>
    </w:p>
    <w:p w14:paraId="7D996F8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（八）法律、法规、规章规定的其他监督管理职责。</w:t>
      </w:r>
    </w:p>
    <w:p w14:paraId="440696D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自治区公共资源交易中心负责</w:t>
      </w:r>
      <w:r>
        <w:rPr>
          <w:rFonts w:hint="eastAsia" w:ascii="仿宋" w:hAnsi="仿宋" w:eastAsia="仿宋" w:cs="仿宋"/>
          <w:color w:val="auto"/>
          <w:sz w:val="32"/>
          <w:szCs w:val="32"/>
          <w:u w:val="none"/>
          <w:lang w:eastAsia="zh-CN"/>
        </w:rPr>
        <w:t>自治区</w:t>
      </w:r>
      <w:r>
        <w:rPr>
          <w:rFonts w:hint="eastAsia" w:ascii="仿宋" w:hAnsi="仿宋" w:eastAsia="仿宋" w:cs="仿宋"/>
          <w:color w:val="auto"/>
          <w:sz w:val="32"/>
          <w:szCs w:val="32"/>
          <w:u w:val="none"/>
        </w:rPr>
        <w:t>专家库系统的建设、运行、维护及日常管理工作，协同配合行政监督部门做好专家管理。</w:t>
      </w:r>
    </w:p>
    <w:p w14:paraId="5032F75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第六条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自治区公共资源交易管理工作联席会议办公室（设在自治区人民政府办公厅）负责协调督促各成员单位做好</w:t>
      </w:r>
      <w:r>
        <w:rPr>
          <w:rFonts w:hint="eastAsia" w:ascii="仿宋" w:hAnsi="仿宋" w:eastAsia="仿宋" w:cs="仿宋"/>
          <w:color w:val="auto"/>
          <w:sz w:val="32"/>
          <w:szCs w:val="32"/>
          <w:u w:val="none"/>
          <w:lang w:eastAsia="zh-CN"/>
        </w:rPr>
        <w:t>自治区</w:t>
      </w:r>
      <w:r>
        <w:rPr>
          <w:rFonts w:hint="eastAsia" w:ascii="仿宋" w:hAnsi="仿宋" w:eastAsia="仿宋" w:cs="仿宋"/>
          <w:color w:val="auto"/>
          <w:sz w:val="32"/>
          <w:szCs w:val="32"/>
          <w:u w:val="none"/>
        </w:rPr>
        <w:t>专家库和专家的监督管理工作。</w:t>
      </w:r>
    </w:p>
    <w:p w14:paraId="2E1D433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第七条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各级公共资源交易平台运行服务机构应当配合行政监督部门对专家履行职责情况进行记录评价，并将记录评价结果反馈行政监督部门。</w:t>
      </w:r>
    </w:p>
    <w:p w14:paraId="151BB1BC">
      <w:pPr>
        <w:keepNext w:val="0"/>
        <w:keepLines w:val="0"/>
        <w:pageBreakBefore w:val="0"/>
        <w:widowControl w:val="0"/>
        <w:kinsoku/>
        <w:wordWrap w:val="0"/>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专家库建设</w:t>
      </w:r>
    </w:p>
    <w:p w14:paraId="72ED0F3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第八条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自治区专家库按照国家统一的专家专业分类标准和专家库共享技术标准建设，应用数智技术提高专家管理水平。专业类别不足的，由自治区相关行政监督部门按需扩充。</w:t>
      </w:r>
    </w:p>
    <w:p w14:paraId="39CABC3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第九条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自治区专家库常态化公开征集专家，保证满足公共资源交易活动需要，征集活动接受公众监督。</w:t>
      </w:r>
    </w:p>
    <w:p w14:paraId="5323048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入选自治区专家库的专业人员应当具备下列条件：</w:t>
      </w:r>
    </w:p>
    <w:p w14:paraId="4D734BC0">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（一）政治觉悟高，具有良好的职业道德，自愿以独立身份参加评标活动，能够认真、公正、诚实、廉洁履行职责；</w:t>
      </w:r>
    </w:p>
    <w:p w14:paraId="6F648291">
      <w:pPr>
        <w:keepNext w:val="0"/>
        <w:keepLines w:val="0"/>
        <w:pageBreakBefore w:val="0"/>
        <w:widowControl w:val="0"/>
        <w:kinsoku/>
        <w:wordWrap w:val="0"/>
        <w:overflowPunct/>
        <w:topLinePunct w:val="0"/>
        <w:autoSpaceDE/>
        <w:autoSpaceDN/>
        <w:bidi w:val="0"/>
        <w:adjustRightInd/>
        <w:snapToGrid/>
        <w:spacing w:line="580" w:lineRule="exact"/>
        <w:ind w:left="0" w:leftChars="0" w:firstLine="537" w:firstLineChars="168"/>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（二）熟悉申报专业相关技术要求及行业发展现状，从事相关专业领域工作满8年并具有高级职称或者具有同等专业水平；</w:t>
      </w:r>
    </w:p>
    <w:p w14:paraId="45B1E298">
      <w:pPr>
        <w:keepNext w:val="0"/>
        <w:keepLines w:val="0"/>
        <w:pageBreakBefore w:val="0"/>
        <w:widowControl w:val="0"/>
        <w:kinsoku/>
        <w:wordWrap w:val="0"/>
        <w:overflowPunct/>
        <w:topLinePunct w:val="0"/>
        <w:autoSpaceDE/>
        <w:autoSpaceDN/>
        <w:bidi w:val="0"/>
        <w:adjustRightInd/>
        <w:snapToGrid/>
        <w:spacing w:line="580" w:lineRule="exact"/>
        <w:ind w:left="0" w:leftChars="0" w:firstLine="560" w:firstLineChars="175"/>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（三）具备参加评标活动所需要的专业知识和实践经验；</w:t>
      </w:r>
    </w:p>
    <w:p w14:paraId="7C19426B">
      <w:pPr>
        <w:keepNext w:val="0"/>
        <w:keepLines w:val="0"/>
        <w:pageBreakBefore w:val="0"/>
        <w:widowControl w:val="0"/>
        <w:kinsoku/>
        <w:wordWrap w:val="0"/>
        <w:overflowPunct/>
        <w:topLinePunct w:val="0"/>
        <w:autoSpaceDE/>
        <w:autoSpaceDN/>
        <w:bidi w:val="0"/>
        <w:adjustRightInd/>
        <w:snapToGrid/>
        <w:spacing w:line="580" w:lineRule="exact"/>
        <w:ind w:left="0" w:leftChars="0" w:firstLine="537" w:firstLineChars="168"/>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（四）熟悉公共资源交易有关法律法规和政策；</w:t>
      </w:r>
    </w:p>
    <w:p w14:paraId="5D1C75B0">
      <w:pPr>
        <w:keepNext w:val="0"/>
        <w:keepLines w:val="0"/>
        <w:pageBreakBefore w:val="0"/>
        <w:widowControl w:val="0"/>
        <w:kinsoku/>
        <w:wordWrap w:val="0"/>
        <w:overflowPunct/>
        <w:topLinePunct w:val="0"/>
        <w:autoSpaceDE/>
        <w:autoSpaceDN/>
        <w:bidi w:val="0"/>
        <w:adjustRightInd/>
        <w:snapToGrid/>
        <w:spacing w:line="580" w:lineRule="exact"/>
        <w:ind w:left="0" w:leftChars="0" w:firstLine="537" w:firstLineChars="168"/>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（五）具有完全民事行为能力，身体健康，能够承担评标工作，年龄一般不超过70周岁；</w:t>
      </w:r>
    </w:p>
    <w:p w14:paraId="44E2D6F2">
      <w:pPr>
        <w:keepNext w:val="0"/>
        <w:keepLines w:val="0"/>
        <w:pageBreakBefore w:val="0"/>
        <w:widowControl w:val="0"/>
        <w:kinsoku/>
        <w:wordWrap w:val="0"/>
        <w:overflowPunct/>
        <w:topLinePunct w:val="0"/>
        <w:autoSpaceDE/>
        <w:autoSpaceDN/>
        <w:bidi w:val="0"/>
        <w:adjustRightInd/>
        <w:snapToGrid/>
        <w:spacing w:line="580" w:lineRule="exact"/>
        <w:ind w:left="0" w:leftChars="0" w:firstLine="579" w:firstLineChars="181"/>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（六）能熟练使用计算机完成电子评标工作；</w:t>
      </w:r>
    </w:p>
    <w:p w14:paraId="711252B9">
      <w:pPr>
        <w:keepNext w:val="0"/>
        <w:keepLines w:val="0"/>
        <w:pageBreakBefore w:val="0"/>
        <w:widowControl w:val="0"/>
        <w:kinsoku/>
        <w:wordWrap w:val="0"/>
        <w:overflowPunct/>
        <w:topLinePunct w:val="0"/>
        <w:autoSpaceDE/>
        <w:autoSpaceDN/>
        <w:bidi w:val="0"/>
        <w:adjustRightInd/>
        <w:snapToGrid/>
        <w:spacing w:line="580" w:lineRule="exact"/>
        <w:ind w:left="0" w:leftChars="0" w:firstLine="598" w:firstLineChars="187"/>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（七）法律、法规、规章规定的其他条件。</w:t>
      </w:r>
    </w:p>
    <w:p w14:paraId="0645E17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前款第（二）项所称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同等专业水平</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，是指取得国家相关不分级别或者一级注册执业资格证书且在有效期内。</w:t>
      </w:r>
    </w:p>
    <w:p w14:paraId="24CB5A5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各行业、专业的特殊资格条件，由自治区有关行政监督部门制定。</w:t>
      </w:r>
    </w:p>
    <w:p w14:paraId="1F7F764C">
      <w:pPr>
        <w:keepNext w:val="0"/>
        <w:keepLines w:val="0"/>
        <w:pageBreakBefore w:val="0"/>
        <w:widowControl w:val="0"/>
        <w:kinsoku/>
        <w:wordWrap w:val="0"/>
        <w:overflowPunct/>
        <w:topLinePunct w:val="0"/>
        <w:autoSpaceDE/>
        <w:autoSpaceDN/>
        <w:bidi w:val="0"/>
        <w:adjustRightInd/>
        <w:snapToGrid/>
        <w:spacing w:line="580" w:lineRule="exact"/>
        <w:ind w:firstLine="616" w:firstLineChars="200"/>
        <w:textAlignment w:val="auto"/>
        <w:rPr>
          <w:rFonts w:hint="eastAsia" w:ascii="仿宋" w:hAnsi="仿宋" w:eastAsia="仿宋" w:cs="仿宋"/>
          <w:color w:val="auto"/>
          <w:spacing w:val="-6"/>
          <w:sz w:val="32"/>
          <w:szCs w:val="32"/>
          <w:u w:val="none"/>
        </w:rPr>
      </w:pPr>
      <w:r>
        <w:rPr>
          <w:rFonts w:hint="eastAsia" w:ascii="黑体" w:hAnsi="黑体" w:eastAsia="黑体" w:cs="黑体"/>
          <w:color w:val="auto"/>
          <w:spacing w:val="-6"/>
          <w:sz w:val="32"/>
          <w:szCs w:val="32"/>
        </w:rPr>
        <w:t>第十一条</w:t>
      </w:r>
      <w:r>
        <w:rPr>
          <w:rFonts w:hint="eastAsia" w:ascii="仿宋" w:hAnsi="仿宋" w:eastAsia="仿宋" w:cs="仿宋"/>
          <w:color w:val="auto"/>
          <w:spacing w:val="-6"/>
          <w:sz w:val="32"/>
          <w:szCs w:val="32"/>
          <w:u w:val="none"/>
          <w:lang w:eastAsia="zh-CN"/>
        </w:rPr>
        <w:t xml:space="preserve">  </w:t>
      </w:r>
      <w:r>
        <w:rPr>
          <w:rFonts w:hint="eastAsia" w:ascii="仿宋" w:hAnsi="仿宋" w:eastAsia="仿宋" w:cs="仿宋"/>
          <w:color w:val="auto"/>
          <w:spacing w:val="-6"/>
          <w:sz w:val="32"/>
          <w:szCs w:val="32"/>
          <w:u w:val="none"/>
        </w:rPr>
        <w:t>申请人有下列情形之一的，不得入选自治区专家库：</w:t>
      </w:r>
    </w:p>
    <w:p w14:paraId="015AC36B">
      <w:pPr>
        <w:keepNext w:val="0"/>
        <w:keepLines w:val="0"/>
        <w:pageBreakBefore w:val="0"/>
        <w:widowControl w:val="0"/>
        <w:kinsoku/>
        <w:wordWrap w:val="0"/>
        <w:overflowPunct/>
        <w:topLinePunct w:val="0"/>
        <w:autoSpaceDE/>
        <w:autoSpaceDN/>
        <w:bidi w:val="0"/>
        <w:adjustRightInd/>
        <w:snapToGrid/>
        <w:spacing w:line="580" w:lineRule="exact"/>
        <w:ind w:left="0" w:leftChars="0" w:firstLine="537" w:firstLineChars="168"/>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（一）无民事行为能力或者限制民事行为能力的；</w:t>
      </w:r>
    </w:p>
    <w:p w14:paraId="3B15539E">
      <w:pPr>
        <w:keepNext w:val="0"/>
        <w:keepLines w:val="0"/>
        <w:pageBreakBefore w:val="0"/>
        <w:widowControl w:val="0"/>
        <w:kinsoku/>
        <w:wordWrap w:val="0"/>
        <w:overflowPunct/>
        <w:topLinePunct w:val="0"/>
        <w:autoSpaceDE/>
        <w:autoSpaceDN/>
        <w:bidi w:val="0"/>
        <w:adjustRightInd/>
        <w:snapToGrid/>
        <w:spacing w:line="580" w:lineRule="exact"/>
        <w:ind w:left="0" w:leftChars="0" w:firstLine="569" w:firstLineChars="185"/>
        <w:textAlignment w:val="auto"/>
        <w:rPr>
          <w:rFonts w:hint="eastAsia" w:ascii="仿宋" w:hAnsi="仿宋" w:eastAsia="仿宋" w:cs="仿宋"/>
          <w:color w:val="auto"/>
          <w:spacing w:val="-6"/>
          <w:sz w:val="32"/>
          <w:szCs w:val="32"/>
          <w:u w:val="none"/>
        </w:rPr>
      </w:pPr>
      <w:r>
        <w:rPr>
          <w:rFonts w:hint="eastAsia" w:ascii="仿宋" w:hAnsi="仿宋" w:eastAsia="仿宋" w:cs="仿宋"/>
          <w:color w:val="auto"/>
          <w:spacing w:val="-6"/>
          <w:sz w:val="32"/>
          <w:szCs w:val="32"/>
          <w:u w:val="none"/>
        </w:rPr>
        <w:t>（二）被有关行政监督部门取消担任评标委员会成员资格的；</w:t>
      </w:r>
    </w:p>
    <w:p w14:paraId="379B6D28">
      <w:pPr>
        <w:keepNext w:val="0"/>
        <w:keepLines w:val="0"/>
        <w:pageBreakBefore w:val="0"/>
        <w:widowControl w:val="0"/>
        <w:kinsoku/>
        <w:wordWrap w:val="0"/>
        <w:overflowPunct/>
        <w:topLinePunct w:val="0"/>
        <w:autoSpaceDE/>
        <w:autoSpaceDN/>
        <w:bidi w:val="0"/>
        <w:adjustRightInd/>
        <w:snapToGrid/>
        <w:spacing w:line="580" w:lineRule="exact"/>
        <w:ind w:left="0" w:leftChars="0" w:firstLine="560" w:firstLineChars="175"/>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（三）被开除公职的；</w:t>
      </w:r>
    </w:p>
    <w:p w14:paraId="3428449A">
      <w:pPr>
        <w:keepNext w:val="0"/>
        <w:keepLines w:val="0"/>
        <w:pageBreakBefore w:val="0"/>
        <w:widowControl w:val="0"/>
        <w:kinsoku/>
        <w:wordWrap w:val="0"/>
        <w:overflowPunct/>
        <w:topLinePunct w:val="0"/>
        <w:autoSpaceDE/>
        <w:autoSpaceDN/>
        <w:bidi w:val="0"/>
        <w:adjustRightInd/>
        <w:snapToGrid/>
        <w:spacing w:line="580" w:lineRule="exact"/>
        <w:ind w:left="0" w:leftChars="0" w:firstLine="579" w:firstLineChars="181"/>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（四）受过刑事处罚的；</w:t>
      </w:r>
    </w:p>
    <w:p w14:paraId="39A66872">
      <w:pPr>
        <w:keepNext w:val="0"/>
        <w:keepLines w:val="0"/>
        <w:pageBreakBefore w:val="0"/>
        <w:widowControl w:val="0"/>
        <w:kinsoku/>
        <w:wordWrap w:val="0"/>
        <w:overflowPunct/>
        <w:topLinePunct w:val="0"/>
        <w:autoSpaceDE/>
        <w:autoSpaceDN/>
        <w:bidi w:val="0"/>
        <w:adjustRightInd/>
        <w:snapToGrid/>
        <w:spacing w:line="580" w:lineRule="exact"/>
        <w:ind w:left="0" w:leftChars="0" w:firstLine="598" w:firstLineChars="187"/>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（五）被列入严重失信主体名单的；</w:t>
      </w:r>
    </w:p>
    <w:p w14:paraId="51D609A5">
      <w:pPr>
        <w:keepNext w:val="0"/>
        <w:keepLines w:val="0"/>
        <w:pageBreakBefore w:val="0"/>
        <w:widowControl w:val="0"/>
        <w:kinsoku/>
        <w:wordWrap w:val="0"/>
        <w:overflowPunct/>
        <w:topLinePunct w:val="0"/>
        <w:autoSpaceDE/>
        <w:autoSpaceDN/>
        <w:bidi w:val="0"/>
        <w:adjustRightInd/>
        <w:snapToGrid/>
        <w:spacing w:line="580" w:lineRule="exact"/>
        <w:ind w:left="0" w:leftChars="0" w:firstLine="598" w:firstLineChars="187"/>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（六）法律、法规、规章规定的其他情形。</w:t>
      </w:r>
    </w:p>
    <w:p w14:paraId="1CB3A53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符合本办法第十条规定条件的专业人员申请入选自治区专家库，应当按照下列步骤进行：</w:t>
      </w:r>
    </w:p>
    <w:p w14:paraId="778B6CCA">
      <w:pPr>
        <w:keepNext w:val="0"/>
        <w:keepLines w:val="0"/>
        <w:pageBreakBefore w:val="0"/>
        <w:widowControl w:val="0"/>
        <w:kinsoku/>
        <w:wordWrap w:val="0"/>
        <w:overflowPunct/>
        <w:topLinePunct w:val="0"/>
        <w:autoSpaceDE/>
        <w:autoSpaceDN/>
        <w:bidi w:val="0"/>
        <w:adjustRightInd/>
        <w:snapToGrid/>
        <w:spacing w:line="580" w:lineRule="exact"/>
        <w:ind w:left="0" w:leftChars="0" w:firstLine="579" w:firstLineChars="181"/>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（一）网上申报。申请人登录内蒙古自治区公共资源交易网（https://ggzyjy.nmg.gov.cn），进入</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内蒙古自治区综合评标专家网上申报系统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在线填报相关信息，并按要求上传相关材料扫描件。</w:t>
      </w:r>
    </w:p>
    <w:p w14:paraId="2DB9FC0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申请人应当按照国家统一的专家专业分类标准，结合个人的专业教育经历、专业工作经历，在三级类别中选择相关评标专业，最多可填报3个三级专业类别，不得跨行业申报。</w:t>
      </w:r>
    </w:p>
    <w:p w14:paraId="14A577B0">
      <w:pPr>
        <w:keepNext w:val="0"/>
        <w:keepLines w:val="0"/>
        <w:pageBreakBefore w:val="0"/>
        <w:widowControl w:val="0"/>
        <w:kinsoku/>
        <w:wordWrap w:val="0"/>
        <w:overflowPunct/>
        <w:topLinePunct w:val="0"/>
        <w:autoSpaceDE/>
        <w:autoSpaceDN/>
        <w:bidi w:val="0"/>
        <w:adjustRightInd/>
        <w:snapToGrid/>
        <w:spacing w:line="580" w:lineRule="exact"/>
        <w:ind w:firstLine="616" w:firstLineChars="200"/>
        <w:textAlignment w:val="auto"/>
        <w:rPr>
          <w:rFonts w:hint="eastAsia" w:ascii="仿宋" w:hAnsi="仿宋" w:eastAsia="仿宋" w:cs="仿宋"/>
          <w:color w:val="auto"/>
          <w:spacing w:val="-6"/>
          <w:sz w:val="32"/>
          <w:szCs w:val="32"/>
          <w:u w:val="none"/>
        </w:rPr>
      </w:pPr>
      <w:r>
        <w:rPr>
          <w:rFonts w:hint="eastAsia" w:ascii="仿宋" w:hAnsi="仿宋" w:eastAsia="仿宋" w:cs="仿宋"/>
          <w:color w:val="auto"/>
          <w:spacing w:val="-6"/>
          <w:sz w:val="32"/>
          <w:szCs w:val="32"/>
          <w:u w:val="none"/>
        </w:rPr>
        <w:t>申请人应当对所填报信息、所提供证件（含扫描件）的真实性、合法性负责，并作出书面承诺，不得以虚假材料骗取专家资格。</w:t>
      </w:r>
    </w:p>
    <w:p w14:paraId="20E7E7B2">
      <w:pPr>
        <w:keepNext w:val="0"/>
        <w:keepLines w:val="0"/>
        <w:pageBreakBefore w:val="0"/>
        <w:widowControl w:val="0"/>
        <w:kinsoku/>
        <w:wordWrap w:val="0"/>
        <w:overflowPunct/>
        <w:topLinePunct w:val="0"/>
        <w:autoSpaceDE/>
        <w:autoSpaceDN/>
        <w:bidi w:val="0"/>
        <w:adjustRightInd/>
        <w:snapToGrid/>
        <w:spacing w:line="580" w:lineRule="exact"/>
        <w:ind w:left="0" w:leftChars="0" w:firstLine="579" w:firstLineChars="181"/>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（二）入库审查。申请人提交信息后，系统自动推送至对应行业的行政监督部门。各盟市行政监督部门通过</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内蒙古自治区综合评标专家库管理系统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按照本行业专家的入库条件及要求进行初审，自治区行政监督部门负责复审。</w:t>
      </w:r>
    </w:p>
    <w:p w14:paraId="3D1569B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申请人所申报评标专业经审核确定后，一般不予调整。由于专业技术职称或者执业资格更新确需调整评标专业的，应当在修改后提交审核。</w:t>
      </w:r>
    </w:p>
    <w:p w14:paraId="22D8A856">
      <w:pPr>
        <w:keepNext w:val="0"/>
        <w:keepLines w:val="0"/>
        <w:pageBreakBefore w:val="0"/>
        <w:widowControl w:val="0"/>
        <w:kinsoku/>
        <w:wordWrap w:val="0"/>
        <w:overflowPunct/>
        <w:topLinePunct w:val="0"/>
        <w:autoSpaceDE/>
        <w:autoSpaceDN/>
        <w:bidi w:val="0"/>
        <w:adjustRightInd/>
        <w:snapToGrid/>
        <w:spacing w:line="580" w:lineRule="exact"/>
        <w:ind w:left="0" w:leftChars="0" w:firstLine="537" w:firstLineChars="168"/>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（三）岗前培训。申请人审核通过后，系统自动以短信方式告知其登录系统参加对应行业的行政监督部门组织的招标投标有关专业知识、法律法规、电子化评标技能、廉洁纪律等方面的入库培训及测试考试。</w:t>
      </w:r>
    </w:p>
    <w:p w14:paraId="79B2961C">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（四）确认入库。申请人培训考试合格的，经对应行业的行政监督部门审核确认后，入选自治区专家库。</w:t>
      </w:r>
    </w:p>
    <w:p w14:paraId="7B03B4F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u w:val="none"/>
        </w:rPr>
        <w:t xml:space="preserve">  专家实行聘期制，每任聘期5年，聘期届满自动解除聘任关系。</w:t>
      </w:r>
    </w:p>
    <w:p w14:paraId="571FA74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专家库系统提前半年以短信方式提醒聘期即将届满专家，并开放续期申请通道。符合本办法第十条规定条件的专家可以在线提出续期申请，经对应行业的行政监督部门审核，并通过教育培训和考核测试的，可以续聘。</w:t>
      </w:r>
    </w:p>
    <w:p w14:paraId="680806C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专家所在单位应当对专家参加评标活动、相关教育培训等给予支持。</w:t>
      </w:r>
    </w:p>
    <w:p w14:paraId="64BB3B1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专家个人信息发生变化时，应当及时进行修改。修改分为自行修改和经审核修改。</w:t>
      </w:r>
    </w:p>
    <w:p w14:paraId="78E4E33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自行修改信息包括：专家基本信息、工作简历信息等。</w:t>
      </w:r>
    </w:p>
    <w:p w14:paraId="22FBC1A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经审核修改信息包括：申报信息、评标专业信息、职称证书信息、执业资格证书信息、回避单位信息等。</w:t>
      </w:r>
    </w:p>
    <w:p w14:paraId="524F59C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自治区专家库建立专家电子档案，内容包括：基本信息、入库申请表、从事专业工作情况和简历、资格审查、培训考核、参与评标工作情况、信用承诺、见证评价等相关信息，并动态更新。</w:t>
      </w:r>
    </w:p>
    <w:p w14:paraId="708F8B4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自治区专家库信息应当严格保密，非因工作需要，任何单位和个人不得私自查询、修改、导出相关信息数据。专家所在单位根据专家职务晋升、职称评审等工作需要，可以书面提出查询专家参加评标情况的申请，并作为参考</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涉及国家秘密、商业秘密或者个人隐私的除外。</w:t>
      </w:r>
    </w:p>
    <w:p w14:paraId="74725913">
      <w:pPr>
        <w:keepNext w:val="0"/>
        <w:keepLines w:val="0"/>
        <w:pageBreakBefore w:val="0"/>
        <w:widowControl w:val="0"/>
        <w:kinsoku/>
        <w:wordWrap w:val="0"/>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专家权利和义务</w:t>
      </w:r>
    </w:p>
    <w:p w14:paraId="3548075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专家享有下列权利：</w:t>
      </w:r>
    </w:p>
    <w:p w14:paraId="5915D17D">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（一）接受招标人邀请，担任评标委员会成员；</w:t>
      </w:r>
    </w:p>
    <w:p w14:paraId="50492F55">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（二）按照招标文件规定的标准和方法进行独立评标并提出意见，不受任何单位或者个人的不当影响或者干预；</w:t>
      </w:r>
    </w:p>
    <w:p w14:paraId="36E160F8">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（三）向有关行政监督部门举报评标活动中存在的违法、违规或者不公正行为；</w:t>
      </w:r>
    </w:p>
    <w:p w14:paraId="2E92FB7E">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（四）接受评标劳务报酬；</w:t>
      </w:r>
    </w:p>
    <w:p w14:paraId="59D7D24B">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（五）对有关行政监督部门作出的不良行为处理决定有权提出申诉；</w:t>
      </w:r>
    </w:p>
    <w:p w14:paraId="45787E41">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（六）法律、法规、规章规定的其他权利。</w:t>
      </w:r>
    </w:p>
    <w:p w14:paraId="512E70B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专家应当履行下列义务（包含招标人代表）：</w:t>
      </w:r>
    </w:p>
    <w:p w14:paraId="788B2BAF">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（一）恪守职业操守，遵守法律法规，</w:t>
      </w:r>
      <w:r>
        <w:rPr>
          <w:rFonts w:hint="eastAsia" w:ascii="仿宋" w:hAnsi="仿宋" w:eastAsia="仿宋" w:cs="仿宋"/>
          <w:color w:val="auto"/>
          <w:sz w:val="32"/>
          <w:szCs w:val="32"/>
          <w:u w:val="none"/>
          <w:lang w:val="en-US" w:eastAsia="zh-CN"/>
        </w:rPr>
        <w:t>存在法定回避情形的，应当主动提出回避</w:t>
      </w:r>
      <w:r>
        <w:rPr>
          <w:rFonts w:hint="eastAsia" w:ascii="仿宋" w:hAnsi="仿宋" w:eastAsia="仿宋" w:cs="仿宋"/>
          <w:color w:val="auto"/>
          <w:sz w:val="32"/>
          <w:szCs w:val="32"/>
          <w:u w:val="none"/>
        </w:rPr>
        <w:t>；</w:t>
      </w:r>
    </w:p>
    <w:p w14:paraId="05967D1C">
      <w:pPr>
        <w:keepNext w:val="0"/>
        <w:keepLines w:val="0"/>
        <w:pageBreakBefore w:val="0"/>
        <w:widowControl w:val="0"/>
        <w:kinsoku/>
        <w:wordWrap w:val="0"/>
        <w:overflowPunct/>
        <w:topLinePunct w:val="0"/>
        <w:autoSpaceDE/>
        <w:autoSpaceDN/>
        <w:bidi w:val="0"/>
        <w:adjustRightInd/>
        <w:snapToGrid/>
        <w:spacing w:line="580" w:lineRule="exact"/>
        <w:ind w:left="0" w:leftChars="0"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（二）遵循公平、公正、科学、择优的原则，根据规定的程序、标准和方法独立评标，对依法应当否决的投标提出否决意见，并对所提出的评审意见承担个人责任；</w:t>
      </w:r>
    </w:p>
    <w:p w14:paraId="15FC98A3">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（三）对评标过程保密；</w:t>
      </w:r>
    </w:p>
    <w:p w14:paraId="2C35C715">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（四）遵守评标工作纪律和评标现场秩序，接受有关行政监督部门的监督管理；</w:t>
      </w:r>
    </w:p>
    <w:p w14:paraId="355F299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（五）对电子交易系统机器自动打分、人工智能评审结果进行复核、确认；</w:t>
      </w:r>
    </w:p>
    <w:p w14:paraId="7056F386">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（六）对同一投标文件的主观评分结果可能出现的异常偏差作出书面说明，并注明理由依据，作为评标报告的组成部分</w:t>
      </w:r>
      <w:r>
        <w:rPr>
          <w:rFonts w:hint="eastAsia" w:ascii="仿宋" w:hAnsi="仿宋" w:eastAsia="仿宋" w:cs="仿宋"/>
          <w:color w:val="auto"/>
          <w:sz w:val="32"/>
          <w:szCs w:val="32"/>
          <w:u w:val="none"/>
          <w:lang w:eastAsia="zh-CN"/>
        </w:rPr>
        <w:t>；</w:t>
      </w:r>
    </w:p>
    <w:p w14:paraId="4C7A0567">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（七）协助、配合招标人处理异议，按规定程序复核、纠正评标报告中的错误；</w:t>
      </w:r>
    </w:p>
    <w:p w14:paraId="5FC15CE1">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（八）发现违法违规行为的，以及评标过程和结果受到不当影响或者干预的，及时向招标人、有关行政监督部门报告；协助、配合有关行政监督部门、纪检监察机关、司法</w:t>
      </w:r>
      <w:r>
        <w:rPr>
          <w:rFonts w:hint="eastAsia" w:ascii="仿宋" w:hAnsi="仿宋" w:eastAsia="仿宋" w:cs="仿宋"/>
          <w:color w:val="auto"/>
          <w:sz w:val="32"/>
          <w:szCs w:val="32"/>
          <w:u w:val="none"/>
          <w:lang w:eastAsia="zh-CN"/>
        </w:rPr>
        <w:t>行政</w:t>
      </w:r>
      <w:r>
        <w:rPr>
          <w:rFonts w:hint="eastAsia" w:ascii="仿宋" w:hAnsi="仿宋" w:eastAsia="仿宋" w:cs="仿宋"/>
          <w:color w:val="auto"/>
          <w:sz w:val="32"/>
          <w:szCs w:val="32"/>
          <w:u w:val="none"/>
        </w:rPr>
        <w:t>机关、审计部门开展监督、检查、调查；</w:t>
      </w:r>
    </w:p>
    <w:p w14:paraId="4A1E4BD2">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（九）接受有关部门组织的教育培训和考核评价；</w:t>
      </w:r>
    </w:p>
    <w:p w14:paraId="283F197C">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（十）如实填报个人信息，并及时更新；</w:t>
      </w:r>
    </w:p>
    <w:p w14:paraId="33959B52">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（十一）法律、法规、规章规定的其他义务。</w:t>
      </w:r>
    </w:p>
    <w:p w14:paraId="0697196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专家因工作、身体等原因，短期内不能参加评标</w:t>
      </w:r>
      <w:r>
        <w:rPr>
          <w:rFonts w:hint="eastAsia" w:ascii="仿宋" w:hAnsi="仿宋" w:eastAsia="仿宋" w:cs="仿宋"/>
          <w:color w:val="auto"/>
          <w:spacing w:val="-6"/>
          <w:sz w:val="32"/>
          <w:szCs w:val="32"/>
          <w:u w:val="none"/>
        </w:rPr>
        <w:t>活动的，应当事先登录系统个人页面进行线上请假，事后自主销假。</w:t>
      </w:r>
    </w:p>
    <w:p w14:paraId="74A88A2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专家应当遵守下列工作纪律：</w:t>
      </w:r>
    </w:p>
    <w:p w14:paraId="1DE28FA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（一）已接受邀请，因故不能参加评标活动的，应当在规定签到时间前及时请假；</w:t>
      </w:r>
    </w:p>
    <w:p w14:paraId="1BD8D36D">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（二）按要求准时到达指定地点，在收到短信通知或者语音通知1小时后（含1小时，各盟市可根据实际情况自行调整）仍未到场的，按无故缺席处理，取消当次项目的评标资格；</w:t>
      </w:r>
    </w:p>
    <w:p w14:paraId="6BF90FBE">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（三）服从公共资源交易平台运行服务机构的评标现场管理；</w:t>
      </w:r>
    </w:p>
    <w:p w14:paraId="54C5105D">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（四）进入评标区域前，应当按要求进行身份信息确认并存放通讯工具（含电子设备、移动存储设备等）；</w:t>
      </w:r>
    </w:p>
    <w:p w14:paraId="5D210A2C">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（五）不得委托他人或者接受除招标人之外的委托参加评标活动；</w:t>
      </w:r>
    </w:p>
    <w:p w14:paraId="32B259DC">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（六）不得与招标人、招标代理机构、投标人、招标人代表或者其他利害关系人私下接触或者相互串通；</w:t>
      </w:r>
    </w:p>
    <w:p w14:paraId="55AE58F6">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（七）不得对其他评标委员会成员的独立评标施加不当影响；</w:t>
      </w:r>
    </w:p>
    <w:p w14:paraId="2E749437">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（八）不得收受招标人、招标代理机构、投标人、其他利害关系人的财物或者其他好处；</w:t>
      </w:r>
    </w:p>
    <w:p w14:paraId="6DDA8517">
      <w:pPr>
        <w:keepNext w:val="0"/>
        <w:keepLines w:val="0"/>
        <w:pageBreakBefore w:val="0"/>
        <w:widowControl w:val="0"/>
        <w:kinsoku/>
        <w:wordWrap w:val="0"/>
        <w:overflowPunct/>
        <w:topLinePunct w:val="0"/>
        <w:autoSpaceDE/>
        <w:autoSpaceDN/>
        <w:bidi w:val="0"/>
        <w:adjustRightInd/>
        <w:snapToGrid/>
        <w:spacing w:line="580" w:lineRule="exact"/>
        <w:ind w:firstLine="498" w:firstLineChars="162"/>
        <w:textAlignment w:val="auto"/>
        <w:rPr>
          <w:rFonts w:hint="eastAsia" w:ascii="仿宋" w:hAnsi="仿宋" w:eastAsia="仿宋" w:cs="仿宋"/>
          <w:color w:val="auto"/>
          <w:spacing w:val="-6"/>
          <w:sz w:val="32"/>
          <w:szCs w:val="32"/>
          <w:u w:val="none"/>
        </w:rPr>
      </w:pPr>
      <w:r>
        <w:rPr>
          <w:rFonts w:hint="eastAsia" w:ascii="仿宋" w:hAnsi="仿宋" w:eastAsia="仿宋" w:cs="仿宋"/>
          <w:color w:val="auto"/>
          <w:spacing w:val="-6"/>
          <w:sz w:val="32"/>
          <w:szCs w:val="32"/>
          <w:u w:val="none"/>
        </w:rPr>
        <w:t>（九）不得向招标人征询确定中标人的意向，或者接受任何单位或者个人明示或者暗示提出的倾向或者排斥特定投标人的要求；</w:t>
      </w:r>
    </w:p>
    <w:p w14:paraId="629AF0AB">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（十）不得透露评标委员会成员身份和评标项目信息；</w:t>
      </w:r>
    </w:p>
    <w:p w14:paraId="517C325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（十一）不得透露对投标文件的评审和比较、中标候选人的推荐情况、在评标过程中知悉的国家秘密和商业秘密以及与评标有关的其他情况；</w:t>
      </w:r>
    </w:p>
    <w:p w14:paraId="2268EFCB">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（十二）不得故意拖延评标时间，或者敷衍塞责随意评标；</w:t>
      </w:r>
    </w:p>
    <w:p w14:paraId="2BC9069C">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（十三）不得在合法的评标劳务费之外额外索取、接受报酬或者其他好处；</w:t>
      </w:r>
    </w:p>
    <w:p w14:paraId="370D81C2">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（十四）严禁组建或者加入可能影响公正评标的微信群、QQ群等网络通讯群组；</w:t>
      </w:r>
    </w:p>
    <w:p w14:paraId="60AA1519">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（十五）不得暗示或者诱导投标人作出澄清、说明或者接受投标人主动提出的澄清、说明；</w:t>
      </w:r>
    </w:p>
    <w:p w14:paraId="468934A1">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（十六）不得无正当理由拒绝在评标报告上签字；</w:t>
      </w:r>
    </w:p>
    <w:p w14:paraId="74433EC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（十七）不得将评标过程中涉及的资料或者数据信息等带离评标区域；</w:t>
      </w:r>
    </w:p>
    <w:p w14:paraId="4EFA0263">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pacing w:val="-6"/>
          <w:sz w:val="32"/>
          <w:szCs w:val="32"/>
          <w:u w:val="none"/>
        </w:rPr>
      </w:pPr>
      <w:r>
        <w:rPr>
          <w:rFonts w:hint="eastAsia" w:ascii="仿宋" w:hAnsi="仿宋" w:eastAsia="仿宋" w:cs="仿宋"/>
          <w:color w:val="auto"/>
          <w:sz w:val="32"/>
          <w:szCs w:val="32"/>
          <w:u w:val="none"/>
        </w:rPr>
        <w:t>（十八）</w:t>
      </w:r>
      <w:r>
        <w:rPr>
          <w:rFonts w:hint="eastAsia" w:ascii="仿宋" w:hAnsi="仿宋" w:eastAsia="仿宋" w:cs="仿宋"/>
          <w:color w:val="auto"/>
          <w:spacing w:val="-6"/>
          <w:sz w:val="32"/>
          <w:szCs w:val="32"/>
          <w:u w:val="none"/>
        </w:rPr>
        <w:t>不得以专家身份从事有损自治区专家库公信力的活动；</w:t>
      </w:r>
    </w:p>
    <w:p w14:paraId="3C0B1B63">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（十九）不得有其他影响评标现场秩序的行为。</w:t>
      </w:r>
    </w:p>
    <w:p w14:paraId="57C44438">
      <w:pPr>
        <w:keepNext w:val="0"/>
        <w:keepLines w:val="0"/>
        <w:pageBreakBefore w:val="0"/>
        <w:widowControl w:val="0"/>
        <w:kinsoku/>
        <w:wordWrap w:val="0"/>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  抽取管理</w:t>
      </w:r>
    </w:p>
    <w:p w14:paraId="244B00C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各级公共资源交易平台运行服务机构设置线上或者线下专家抽取终端，无偿提供专家抽取服务工作。各级行</w:t>
      </w:r>
      <w:r>
        <w:rPr>
          <w:rFonts w:hint="eastAsia" w:ascii="仿宋" w:hAnsi="仿宋" w:eastAsia="仿宋" w:cs="仿宋"/>
          <w:color w:val="auto"/>
          <w:spacing w:val="-6"/>
          <w:sz w:val="32"/>
          <w:szCs w:val="32"/>
          <w:u w:val="none"/>
        </w:rPr>
        <w:t>政监督部门按照职责分工，依法依规对专家抽取的全过程进行监督。</w:t>
      </w:r>
    </w:p>
    <w:p w14:paraId="1898F13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（一）原则上同一专业专家数量达到3个（含）以上的，可以进行抽取。旗县（市、区）远程异地单工位不受此限制。</w:t>
      </w:r>
    </w:p>
    <w:p w14:paraId="46862C1C">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（二）原则上同一专家评标结束后，7天内不可再被重复抽取。</w:t>
      </w:r>
    </w:p>
    <w:p w14:paraId="4EF453D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第二十三条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库系统运行维护、管理人员应当对抽取的专家名单和信息严格保密，严禁查询、修改和泄露。专家抽取系统应当完整保留抽取全过程的原始数据和运行操作日志，实现全程留痕、可溯可查。各级公共资源交易平台运行服务机构应当对专家抽取系统定期巡检，确保专家抽取工作规范高效、安全保密。</w:t>
      </w:r>
    </w:p>
    <w:p w14:paraId="3F8781B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全区依法必须进行招标项目、政府投资项目</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专家应当从自治区专家库或者远程异地评标副场所在地的省级专家库中依据相关规定随机抽取。自治区行业行政监督部门另有规定的，从其规定。自治区专家库抽取的专家不能满足评标需要人数时，在调整专家专业和地域分布后仍不满足的，缺额专家应当从其他依法设立的评标专家库中随机补充确定。</w:t>
      </w:r>
    </w:p>
    <w:p w14:paraId="723B5E4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技术复杂、专业性强或者国家有特殊要求的依法必须进行招标项目，采取随机抽取方式确定的专家难以胜任</w:t>
      </w:r>
      <w:r>
        <w:rPr>
          <w:rFonts w:hint="eastAsia" w:ascii="仿宋" w:hAnsi="仿宋" w:eastAsia="仿宋" w:cs="仿宋"/>
          <w:color w:val="auto"/>
          <w:sz w:val="32"/>
          <w:szCs w:val="32"/>
          <w:u w:val="none"/>
          <w:lang w:eastAsia="zh-CN"/>
        </w:rPr>
        <w:t>评标工作</w:t>
      </w:r>
      <w:r>
        <w:rPr>
          <w:rFonts w:hint="eastAsia" w:ascii="仿宋" w:hAnsi="仿宋" w:eastAsia="仿宋" w:cs="仿宋"/>
          <w:color w:val="auto"/>
          <w:sz w:val="32"/>
          <w:szCs w:val="32"/>
          <w:u w:val="none"/>
        </w:rPr>
        <w:t>的，招标人可以依法直接确定专家，并向有关行政监督部门报告。</w:t>
      </w:r>
    </w:p>
    <w:p w14:paraId="4F4C7F09">
      <w:pPr>
        <w:keepNext w:val="0"/>
        <w:keepLines w:val="0"/>
        <w:pageBreakBefore w:val="0"/>
        <w:widowControl w:val="0"/>
        <w:kinsoku/>
        <w:wordWrap w:val="0"/>
        <w:overflowPunct/>
        <w:topLinePunct w:val="0"/>
        <w:autoSpaceDE/>
        <w:autoSpaceDN/>
        <w:bidi w:val="0"/>
        <w:adjustRightInd/>
        <w:snapToGrid/>
        <w:spacing w:line="580" w:lineRule="exact"/>
        <w:ind w:firstLine="664"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pacing w:val="6"/>
          <w:sz w:val="32"/>
          <w:szCs w:val="32"/>
          <w:u w:val="none"/>
        </w:rPr>
        <w:t>使用国际组织或者外国政府贷款（援助）资金的项目，贷款（资金提供）方对确定评标专家另有规定的，</w:t>
      </w:r>
      <w:r>
        <w:rPr>
          <w:rFonts w:hint="eastAsia" w:ascii="仿宋" w:hAnsi="仿宋" w:eastAsia="仿宋" w:cs="仿宋"/>
          <w:color w:val="auto"/>
          <w:spacing w:val="6"/>
          <w:sz w:val="32"/>
          <w:szCs w:val="32"/>
          <w:u w:val="none"/>
          <w:lang w:eastAsia="zh-CN"/>
        </w:rPr>
        <w:t>可以适用</w:t>
      </w:r>
      <w:r>
        <w:rPr>
          <w:rFonts w:hint="eastAsia" w:ascii="仿宋" w:hAnsi="仿宋" w:eastAsia="仿宋" w:cs="仿宋"/>
          <w:color w:val="auto"/>
          <w:spacing w:val="6"/>
          <w:sz w:val="32"/>
          <w:szCs w:val="32"/>
          <w:u w:val="none"/>
        </w:rPr>
        <w:t>其规定，但违</w:t>
      </w:r>
      <w:r>
        <w:rPr>
          <w:rFonts w:hint="eastAsia" w:ascii="仿宋" w:hAnsi="仿宋" w:eastAsia="仿宋" w:cs="仿宋"/>
          <w:color w:val="auto"/>
          <w:sz w:val="32"/>
          <w:szCs w:val="32"/>
          <w:u w:val="none"/>
        </w:rPr>
        <w:t>背中华人民共和国的社会公共利益的除外。</w:t>
      </w:r>
    </w:p>
    <w:p w14:paraId="1D4FDE6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各级公共资源交易平台运行服务机构应当依托自治区专家库和自治区公共资源交易平台，按照国家、自治区有关要求，常态化开展远程异地评标，激活各地</w:t>
      </w:r>
      <w:r>
        <w:rPr>
          <w:rFonts w:hint="eastAsia" w:ascii="仿宋" w:hAnsi="仿宋" w:eastAsia="仿宋" w:cs="仿宋"/>
          <w:color w:val="auto"/>
          <w:sz w:val="32"/>
          <w:szCs w:val="32"/>
          <w:u w:val="none"/>
          <w:lang w:eastAsia="zh-CN"/>
        </w:rPr>
        <w:t>区</w:t>
      </w:r>
      <w:r>
        <w:rPr>
          <w:rFonts w:hint="eastAsia" w:ascii="仿宋" w:hAnsi="仿宋" w:eastAsia="仿宋" w:cs="仿宋"/>
          <w:color w:val="auto"/>
          <w:sz w:val="32"/>
          <w:szCs w:val="32"/>
          <w:u w:val="none"/>
        </w:rPr>
        <w:t>专家资源，提升评标效能。</w:t>
      </w:r>
    </w:p>
    <w:p w14:paraId="193BA7E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抽取专家应当在开标当日按照规定的程序和要求进行。需要在其他省（区、市）抽取或者邀请专家的，应当考虑专家抵达评标地点所需行程时间，可在评标开始之日前48小时内抽取。</w:t>
      </w:r>
    </w:p>
    <w:p w14:paraId="3ACA3F1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专家确定后，专家抽取系统以语音、信息方式自动通知专家参加评标工作的时间、地点和相关要求，其他有关交易项目的信息一律保密。</w:t>
      </w:r>
    </w:p>
    <w:p w14:paraId="06C8ED1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u w:val="none"/>
        </w:rPr>
        <w:t xml:space="preserve">  专家名单在中标结果确定前应当严格保密。发布中标候选人公示的同时，一并公布评标委员会各成员对中标候选人的评标情况，并对评标委员会成员姓名进行适当隐藏处理。</w:t>
      </w:r>
    </w:p>
    <w:p w14:paraId="52A75C4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第二十七条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有下列情形之一的，招标人应当填报原因后重新抽取或者补充抽取：</w:t>
      </w:r>
    </w:p>
    <w:p w14:paraId="75B0E275">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（一）按照相关规定，专家需要回避的，其中</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专家之间有夫妻、直系血亲、三代以内旁系血亲及近姻亲关系的，不得参与同一项目评标；</w:t>
      </w:r>
    </w:p>
    <w:p w14:paraId="5ABF7758">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（二）评标前发现专家信息泄露的；</w:t>
      </w:r>
    </w:p>
    <w:p w14:paraId="0C07F5EB">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（三）未在规定时间到场或者擅离职守的；</w:t>
      </w:r>
    </w:p>
    <w:p w14:paraId="5F94C910">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（四）无法胜任评标任务或者因健康等原因不能继续完成评标任务的；</w:t>
      </w:r>
    </w:p>
    <w:p w14:paraId="2E1265EF">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（五）评标活动依法需重新组织的。</w:t>
      </w:r>
    </w:p>
    <w:p w14:paraId="341017E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重新抽取或者补充抽取的程序参照首次抽取程序，采取随机方式，任何单位和个人不得以明示、暗示等任何方式指定或者变相指定专家。</w:t>
      </w:r>
    </w:p>
    <w:p w14:paraId="4F00AF0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被更换的专家已作出的评标结论无效，由更换后的专家重新进行评标。</w:t>
      </w:r>
    </w:p>
    <w:p w14:paraId="6E8DFDA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专家有下列情形之一的，不得担任评标委员会成员（不包含招标人代表）：</w:t>
      </w:r>
    </w:p>
    <w:p w14:paraId="1A22288B">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（一）招标项目的主管部门（包括上级管理部门）或者对该项目有监督管理职责的行政监督部门的工作人员；</w:t>
      </w:r>
    </w:p>
    <w:p w14:paraId="4676A2D9">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（二）招标人和投标人的工作人员、退休或者离职未满3年的人员；参加评标活动前3年内，担任过招标人、投标人的董事、监事、高级管理人员、实际控制人；</w:t>
      </w:r>
    </w:p>
    <w:p w14:paraId="2AC59C8F">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（三）招标人和投标人的主要负责人的近亲属；</w:t>
      </w:r>
    </w:p>
    <w:p w14:paraId="6FD23E0E">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（四）与招标项目的投标人有直接利害关系，可能影响评标公正的人员；</w:t>
      </w:r>
    </w:p>
    <w:p w14:paraId="47AE0D1D">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（五）法律、法规、规章规定的其他情形。</w:t>
      </w:r>
    </w:p>
    <w:p w14:paraId="48E6D76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专家有前款规定情形之一的，应当主动提出回避；未提出回避的，招标人或者行政监督部门发现后，应当立即终止其本次评标活动。</w:t>
      </w:r>
    </w:p>
    <w:p w14:paraId="0854647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依法随机抽取并确认的专家，除出现本办法第二十七条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第二十八条规定的情形外，任何单位和个人不得以任何理由拒绝</w:t>
      </w:r>
      <w:r>
        <w:rPr>
          <w:rFonts w:hint="eastAsia" w:ascii="仿宋" w:hAnsi="仿宋" w:eastAsia="仿宋" w:cs="仿宋"/>
          <w:color w:val="auto"/>
          <w:sz w:val="32"/>
          <w:szCs w:val="32"/>
          <w:u w:val="none"/>
          <w:lang w:eastAsia="zh-CN"/>
        </w:rPr>
        <w:t>其参加评标活动</w:t>
      </w:r>
      <w:r>
        <w:rPr>
          <w:rFonts w:hint="eastAsia" w:ascii="仿宋" w:hAnsi="仿宋" w:eastAsia="仿宋" w:cs="仿宋"/>
          <w:color w:val="auto"/>
          <w:sz w:val="32"/>
          <w:szCs w:val="32"/>
          <w:u w:val="none"/>
        </w:rPr>
        <w:t>。</w:t>
      </w:r>
    </w:p>
    <w:p w14:paraId="4C1AFA9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招标人采用现场抽取专家的，应当由行政监督部门工作人员进行现场监督，公共资源交易平台运行服务机构工作人员给予必要的咨询服务和操作辅助。采用在线抽取专家的，应当由招标人对抽取结果进行确认。</w:t>
      </w:r>
    </w:p>
    <w:p w14:paraId="17F22BA7">
      <w:pPr>
        <w:keepNext w:val="0"/>
        <w:keepLines w:val="0"/>
        <w:pageBreakBefore w:val="0"/>
        <w:widowControl w:val="0"/>
        <w:kinsoku/>
        <w:wordWrap w:val="0"/>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  专家管理</w:t>
      </w:r>
    </w:p>
    <w:p w14:paraId="05D59BF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各级公共资源交易平台运行服务机构负责收集和记录本场所内参加评标活动专家的不良行为和违法违规行为，及时</w:t>
      </w:r>
      <w:r>
        <w:rPr>
          <w:rFonts w:hint="eastAsia" w:ascii="仿宋" w:hAnsi="仿宋" w:eastAsia="仿宋" w:cs="仿宋"/>
          <w:color w:val="auto"/>
          <w:sz w:val="32"/>
          <w:szCs w:val="32"/>
          <w:u w:val="none"/>
          <w:lang w:eastAsia="zh-CN"/>
        </w:rPr>
        <w:t>反馈</w:t>
      </w:r>
      <w:r>
        <w:rPr>
          <w:rFonts w:hint="eastAsia" w:ascii="仿宋" w:hAnsi="仿宋" w:eastAsia="仿宋" w:cs="仿宋"/>
          <w:color w:val="auto"/>
          <w:sz w:val="32"/>
          <w:szCs w:val="32"/>
          <w:u w:val="none"/>
        </w:rPr>
        <w:t>有关行政监督部门</w:t>
      </w:r>
      <w:r>
        <w:rPr>
          <w:rFonts w:hint="eastAsia" w:ascii="仿宋" w:hAnsi="仿宋" w:eastAsia="仿宋" w:cs="仿宋"/>
          <w:color w:val="auto"/>
          <w:sz w:val="32"/>
          <w:szCs w:val="32"/>
          <w:u w:val="none"/>
          <w:lang w:eastAsia="zh-CN"/>
        </w:rPr>
        <w:t>进行</w:t>
      </w:r>
      <w:r>
        <w:rPr>
          <w:rFonts w:hint="eastAsia" w:ascii="仿宋" w:hAnsi="仿宋" w:eastAsia="仿宋" w:cs="仿宋"/>
          <w:color w:val="auto"/>
          <w:sz w:val="32"/>
          <w:szCs w:val="32"/>
          <w:u w:val="none"/>
        </w:rPr>
        <w:t>认定、处理，并配合做好调查处理工作。</w:t>
      </w:r>
    </w:p>
    <w:p w14:paraId="4711A98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第三十二条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招标人、招标代理机构、投标人发现专家有违法违规行为的，应当及时向监督该项目的行政监督部门报告，并</w:t>
      </w:r>
      <w:r>
        <w:rPr>
          <w:rFonts w:hint="eastAsia" w:ascii="仿宋" w:hAnsi="仿宋" w:eastAsia="仿宋" w:cs="仿宋"/>
          <w:color w:val="auto"/>
          <w:spacing w:val="-6"/>
          <w:sz w:val="32"/>
          <w:szCs w:val="32"/>
          <w:u w:val="none"/>
        </w:rPr>
        <w:t>配合做好调查处理工作。相关行政监督部门应当依法依规严肃查处。</w:t>
      </w:r>
    </w:p>
    <w:p w14:paraId="0AB8171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第三十三条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自治区各行业行政监督部门应当建立专家动态考核机制，制定本行业全区统一的评价标准，及时清退不合格专家，并向社会公布。考评标准包括但不限于以下内容：</w:t>
      </w:r>
    </w:p>
    <w:p w14:paraId="581D09C4">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（一）响应抽取，准时到场参加评标情况；</w:t>
      </w:r>
    </w:p>
    <w:p w14:paraId="35F0BBD8">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（二）遵守评标工作纪律和评标现场秩序情况；</w:t>
      </w:r>
    </w:p>
    <w:p w14:paraId="6863258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（三）依据招标文件规定的评标标准及方法依法依规评标，客观公正履行职责情况；</w:t>
      </w:r>
    </w:p>
    <w:p w14:paraId="27FDF90E">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（四）经复核或者认定出现评标打分畸高畸低情况；</w:t>
      </w:r>
    </w:p>
    <w:p w14:paraId="47C338D5">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（五）协助、配合招标人处理异议、复核评标结果情况；</w:t>
      </w:r>
    </w:p>
    <w:p w14:paraId="62E3637E">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（六）协助、配合有关行政监督部门、纪检监察机关、司法</w:t>
      </w:r>
      <w:r>
        <w:rPr>
          <w:rFonts w:hint="eastAsia" w:ascii="仿宋" w:hAnsi="仿宋" w:eastAsia="仿宋" w:cs="仿宋"/>
          <w:color w:val="auto"/>
          <w:sz w:val="32"/>
          <w:szCs w:val="32"/>
          <w:u w:val="none"/>
          <w:lang w:eastAsia="zh-CN"/>
        </w:rPr>
        <w:t>行政</w:t>
      </w:r>
      <w:r>
        <w:rPr>
          <w:rFonts w:hint="eastAsia" w:ascii="仿宋" w:hAnsi="仿宋" w:eastAsia="仿宋" w:cs="仿宋"/>
          <w:color w:val="auto"/>
          <w:sz w:val="32"/>
          <w:szCs w:val="32"/>
          <w:u w:val="none"/>
        </w:rPr>
        <w:t>机关、审计部门开展监督、检查、调查等情况；</w:t>
      </w:r>
    </w:p>
    <w:p w14:paraId="081B20C5">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（七）参加教育培训、测试和考核情况；</w:t>
      </w:r>
    </w:p>
    <w:p w14:paraId="43F94B6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（八）其他能够反映专家履职情况的内容。</w:t>
      </w:r>
    </w:p>
    <w:p w14:paraId="19CB8BC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行业行政监督部门应当结合专家年度履职考核结论、在库年限、参加评标频次、相关交易主体评价意见等开展履职风险评估，并根据评估情况</w:t>
      </w:r>
      <w:r>
        <w:rPr>
          <w:rFonts w:hint="eastAsia" w:ascii="仿宋" w:hAnsi="仿宋" w:eastAsia="仿宋" w:cs="仿宋"/>
          <w:color w:val="auto"/>
          <w:sz w:val="32"/>
          <w:szCs w:val="32"/>
          <w:u w:val="none"/>
          <w:lang w:eastAsia="zh-CN"/>
        </w:rPr>
        <w:t>对相关专家采取</w:t>
      </w:r>
      <w:r>
        <w:rPr>
          <w:rFonts w:hint="eastAsia" w:ascii="仿宋" w:hAnsi="仿宋" w:eastAsia="仿宋" w:cs="仿宋"/>
          <w:color w:val="auto"/>
          <w:sz w:val="32"/>
          <w:szCs w:val="32"/>
          <w:u w:val="none"/>
        </w:rPr>
        <w:t>调整抽取频次、设置抽取间隔期、暂停评标、清退出库等</w:t>
      </w:r>
      <w:r>
        <w:rPr>
          <w:rFonts w:hint="eastAsia" w:ascii="仿宋" w:hAnsi="仿宋" w:eastAsia="仿宋" w:cs="仿宋"/>
          <w:color w:val="auto"/>
          <w:sz w:val="32"/>
          <w:szCs w:val="32"/>
          <w:u w:val="none"/>
          <w:lang w:eastAsia="zh-CN"/>
        </w:rPr>
        <w:t>措施</w:t>
      </w:r>
      <w:r>
        <w:rPr>
          <w:rFonts w:hint="eastAsia" w:ascii="仿宋" w:hAnsi="仿宋" w:eastAsia="仿宋" w:cs="仿宋"/>
          <w:color w:val="auto"/>
          <w:sz w:val="32"/>
          <w:szCs w:val="32"/>
          <w:u w:val="none"/>
        </w:rPr>
        <w:t>，防范专家履职风险。</w:t>
      </w:r>
    </w:p>
    <w:p w14:paraId="4485B10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第三十四条</w:t>
      </w:r>
      <w:r>
        <w:rPr>
          <w:rFonts w:hint="eastAsia" w:ascii="仿宋" w:hAnsi="仿宋" w:eastAsia="仿宋" w:cs="仿宋"/>
          <w:color w:val="auto"/>
          <w:sz w:val="32"/>
          <w:szCs w:val="32"/>
          <w:u w:val="none"/>
        </w:rPr>
        <w:t xml:space="preserve">  年度履职考核结论以短信形式通知在库专家。专家对考核结论有异议的，有权向对应行业的行政监督部门申请复核，相关行政监督部门应当在收到异议</w:t>
      </w:r>
      <w:r>
        <w:rPr>
          <w:rFonts w:hint="eastAsia" w:ascii="仿宋" w:hAnsi="仿宋" w:eastAsia="仿宋" w:cs="仿宋"/>
          <w:color w:val="auto"/>
          <w:sz w:val="32"/>
          <w:szCs w:val="32"/>
          <w:u w:val="none"/>
          <w:lang w:eastAsia="zh-CN"/>
        </w:rPr>
        <w:t>申请</w:t>
      </w:r>
      <w:r>
        <w:rPr>
          <w:rFonts w:hint="eastAsia" w:ascii="仿宋" w:hAnsi="仿宋" w:eastAsia="仿宋" w:cs="仿宋"/>
          <w:color w:val="auto"/>
          <w:sz w:val="32"/>
          <w:szCs w:val="32"/>
          <w:u w:val="none"/>
        </w:rPr>
        <w:t>后30日内核实有关情况并作出答复。</w:t>
      </w:r>
    </w:p>
    <w:p w14:paraId="22CE401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第三十五条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专家有下列情形之一的，各级行政监督部门应当对专家作出暂停评标委员会成员资格、降低抽取频次、延长抽取间隔期的</w:t>
      </w:r>
      <w:r>
        <w:rPr>
          <w:rFonts w:hint="eastAsia" w:ascii="仿宋" w:hAnsi="仿宋" w:eastAsia="仿宋" w:cs="仿宋"/>
          <w:color w:val="auto"/>
          <w:sz w:val="32"/>
          <w:szCs w:val="32"/>
          <w:u w:val="none"/>
          <w:lang w:val="en-US" w:eastAsia="zh-CN"/>
        </w:rPr>
        <w:t>处理</w:t>
      </w:r>
      <w:r>
        <w:rPr>
          <w:rFonts w:hint="eastAsia" w:ascii="仿宋" w:hAnsi="仿宋" w:eastAsia="仿宋" w:cs="仿宋"/>
          <w:color w:val="auto"/>
          <w:sz w:val="32"/>
          <w:szCs w:val="32"/>
          <w:u w:val="none"/>
        </w:rPr>
        <w:t>：</w:t>
      </w:r>
    </w:p>
    <w:p w14:paraId="7BE8C52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（一）未按要求及时更新个人信息的；</w:t>
      </w:r>
    </w:p>
    <w:p w14:paraId="2FCBA404">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（二）未按要求参加教育培训的；</w:t>
      </w:r>
    </w:p>
    <w:p w14:paraId="7E437994">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（三）违反评标现场管理规定，拒不改正的；</w:t>
      </w:r>
    </w:p>
    <w:p w14:paraId="54F588F8">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（四）累计迟到达3次的；</w:t>
      </w:r>
    </w:p>
    <w:p w14:paraId="3A967B69">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（五）在评标过程中因个人原因申请退出的；</w:t>
      </w:r>
    </w:p>
    <w:p w14:paraId="328276F4">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（六）存在履职风险的其他情形。</w:t>
      </w:r>
    </w:p>
    <w:p w14:paraId="4EBFCBA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lang w:eastAsia="zh-CN"/>
        </w:rPr>
      </w:pPr>
      <w:r>
        <w:rPr>
          <w:rFonts w:hint="eastAsia" w:ascii="黑体" w:hAnsi="黑体" w:eastAsia="黑体" w:cs="黑体"/>
          <w:color w:val="auto"/>
          <w:sz w:val="32"/>
          <w:szCs w:val="32"/>
        </w:rPr>
        <w:t>第三十六条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专家有下列情形之一的，各级行政监督部门应当终止其专家资格，于30日内与其解除聘任关系并调整出库，同时通报专家所在单位</w:t>
      </w:r>
      <w:r>
        <w:rPr>
          <w:rFonts w:hint="eastAsia" w:ascii="仿宋" w:hAnsi="仿宋" w:eastAsia="仿宋" w:cs="仿宋"/>
          <w:color w:val="auto"/>
          <w:sz w:val="32"/>
          <w:szCs w:val="32"/>
          <w:u w:val="none"/>
          <w:lang w:eastAsia="zh-CN"/>
        </w:rPr>
        <w:t>。</w:t>
      </w:r>
    </w:p>
    <w:p w14:paraId="5F368338">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（一）不具备本办法第十条规定的条件，或者存在本办法第十一条规定情形的；</w:t>
      </w:r>
    </w:p>
    <w:p w14:paraId="18D1E9F4">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（二）因健康或者工作等原因不能继续担任专家的；</w:t>
      </w:r>
    </w:p>
    <w:p w14:paraId="65724EDA">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（三）年度履职考核不合格的；</w:t>
      </w:r>
    </w:p>
    <w:p w14:paraId="21A38E80">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（四）法律、法规、规章规定的其他情形。</w:t>
      </w:r>
    </w:p>
    <w:p w14:paraId="4AB11A8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第三十七条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专家有下列情形之一的，各级行政监督部门应当取消其担任评标委员会成员的资格：</w:t>
      </w:r>
    </w:p>
    <w:p w14:paraId="5F8F9640">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（一）使用不实信息或者虚假材料骗取专家资格的；</w:t>
      </w:r>
    </w:p>
    <w:p w14:paraId="558720E6">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（二）日常履职行为出现重大疏漏的；</w:t>
      </w:r>
    </w:p>
    <w:p w14:paraId="00FA9DD9">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（三）评标结论有误，拒不改正的；</w:t>
      </w:r>
    </w:p>
    <w:p w14:paraId="2BE8673D">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（四）不按规定评标、存在徇私舞弊、违反评标纪律和有关规定的；</w:t>
      </w:r>
    </w:p>
    <w:p w14:paraId="70E98581">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（五）捏造事实，伪造、虚构材料或者以非法手段获取证明材料进行申诉的；</w:t>
      </w:r>
    </w:p>
    <w:p w14:paraId="00B8ACB7">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（六）法律、法规、规章规定的其他情形。</w:t>
      </w:r>
    </w:p>
    <w:p w14:paraId="05BE2BC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第三十八条</w:t>
      </w:r>
      <w:r>
        <w:rPr>
          <w:rFonts w:hint="eastAsia" w:ascii="仿宋" w:hAnsi="仿宋" w:eastAsia="仿宋" w:cs="仿宋"/>
          <w:color w:val="auto"/>
          <w:sz w:val="32"/>
          <w:szCs w:val="32"/>
          <w:u w:val="none"/>
        </w:rPr>
        <w:t xml:space="preserve">  专家自愿退出自治区专家库的，应当向有关行政监督部门提出书面申请。</w:t>
      </w:r>
    </w:p>
    <w:p w14:paraId="10738E3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有关行政监督部门收到申请后，应当停止该专家抽取资格，于10</w:t>
      </w:r>
      <w:r>
        <w:rPr>
          <w:rFonts w:hint="eastAsia" w:ascii="仿宋" w:hAnsi="仿宋" w:eastAsia="仿宋" w:cs="仿宋"/>
          <w:color w:val="auto"/>
          <w:sz w:val="32"/>
          <w:szCs w:val="32"/>
          <w:u w:val="none"/>
          <w:lang w:eastAsia="zh-CN"/>
        </w:rPr>
        <w:t>日</w:t>
      </w:r>
      <w:r>
        <w:rPr>
          <w:rFonts w:hint="eastAsia" w:ascii="仿宋" w:hAnsi="仿宋" w:eastAsia="仿宋" w:cs="仿宋"/>
          <w:color w:val="auto"/>
          <w:sz w:val="32"/>
          <w:szCs w:val="32"/>
          <w:u w:val="none"/>
        </w:rPr>
        <w:t>内与其解除聘任关系并调整出库。</w:t>
      </w:r>
    </w:p>
    <w:p w14:paraId="12AB8D3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第三十九条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被取消担任评标委员会成员资格的人员，应当由对应行业的行政监督部门及时从自治区专家库中清退。</w:t>
      </w:r>
    </w:p>
    <w:p w14:paraId="75B8B18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招标人不得委派和聘请处于暂停评标委员会成员资格或者已被取消担任评标委员会成员资格的人员担任招标人代表参与评标活动。</w:t>
      </w:r>
    </w:p>
    <w:p w14:paraId="1BED6B4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各级行政监督部门应当对受到严重处罚的专家依法列入严重失信主体名单，实施联合惩戒。</w:t>
      </w:r>
    </w:p>
    <w:p w14:paraId="39668C5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第四十一条</w:t>
      </w:r>
      <w:r>
        <w:rPr>
          <w:rFonts w:hint="eastAsia" w:ascii="仿宋" w:hAnsi="仿宋" w:eastAsia="仿宋" w:cs="仿宋"/>
          <w:color w:val="auto"/>
          <w:sz w:val="32"/>
          <w:szCs w:val="32"/>
          <w:u w:val="none"/>
        </w:rPr>
        <w:t xml:space="preserve">  专家对评标行为终身负责，承担相应法律责任，不因退休或者解除聘任关系等免于追责。</w:t>
      </w:r>
    </w:p>
    <w:p w14:paraId="6B7F364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第四十二条</w:t>
      </w:r>
      <w:r>
        <w:rPr>
          <w:rFonts w:hint="eastAsia" w:ascii="仿宋" w:hAnsi="仿宋" w:eastAsia="仿宋" w:cs="仿宋"/>
          <w:color w:val="auto"/>
          <w:sz w:val="32"/>
          <w:szCs w:val="32"/>
          <w:u w:val="none"/>
        </w:rPr>
        <w:t xml:space="preserve">  自治区专家库依托自治区公共资源电子化交易平台统一在线支付专家劳务报酬。</w:t>
      </w:r>
    </w:p>
    <w:p w14:paraId="7491C37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第四十三条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各级行政监督部门、公共资源交易平台运行服务机构应当设立专家违法违规举报电话，并在相关网站、微信公众号等开通举报通道。</w:t>
      </w:r>
    </w:p>
    <w:p w14:paraId="687D6453">
      <w:pPr>
        <w:keepNext w:val="0"/>
        <w:keepLines w:val="0"/>
        <w:pageBreakBefore w:val="0"/>
        <w:widowControl w:val="0"/>
        <w:kinsoku/>
        <w:wordWrap w:val="0"/>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  法律责任</w:t>
      </w:r>
    </w:p>
    <w:p w14:paraId="1672260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第四十四条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依法必须进行招标项目的招标人违法组建评标委员会，或者违法确定、更换评标委员会成员的，由有关行政监督部门依据</w:t>
      </w:r>
      <w:r>
        <w:rPr>
          <w:rFonts w:hint="eastAsia" w:ascii="仿宋" w:hAnsi="仿宋" w:eastAsia="仿宋" w:cs="仿宋"/>
          <w:color w:val="auto"/>
          <w:sz w:val="32"/>
          <w:szCs w:val="32"/>
          <w:u w:val="none"/>
          <w:lang w:eastAsia="zh-CN"/>
        </w:rPr>
        <w:t>有关法律、法规</w:t>
      </w:r>
      <w:r>
        <w:rPr>
          <w:rFonts w:hint="eastAsia" w:ascii="仿宋" w:hAnsi="仿宋" w:eastAsia="仿宋" w:cs="仿宋"/>
          <w:color w:val="auto"/>
          <w:sz w:val="32"/>
          <w:szCs w:val="32"/>
          <w:u w:val="none"/>
        </w:rPr>
        <w:t>予以处置；对负有责任的领导人员和直接责任人员依法给予处分；涉嫌违纪违法犯罪的，及时移送纪检监察机关、司法</w:t>
      </w:r>
      <w:r>
        <w:rPr>
          <w:rFonts w:hint="eastAsia" w:ascii="仿宋" w:hAnsi="仿宋" w:eastAsia="仿宋" w:cs="仿宋"/>
          <w:color w:val="auto"/>
          <w:sz w:val="32"/>
          <w:szCs w:val="32"/>
          <w:u w:val="none"/>
          <w:lang w:eastAsia="zh-CN"/>
        </w:rPr>
        <w:t>行政</w:t>
      </w:r>
      <w:r>
        <w:rPr>
          <w:rFonts w:hint="eastAsia" w:ascii="仿宋" w:hAnsi="仿宋" w:eastAsia="仿宋" w:cs="仿宋"/>
          <w:color w:val="auto"/>
          <w:sz w:val="32"/>
          <w:szCs w:val="32"/>
          <w:u w:val="none"/>
        </w:rPr>
        <w:t>机关处理。</w:t>
      </w:r>
    </w:p>
    <w:p w14:paraId="2787332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政府投资项目的招标人不按照本办法规定抽取专家的，由有关行政监督部门依据</w:t>
      </w:r>
      <w:r>
        <w:rPr>
          <w:rFonts w:hint="eastAsia" w:ascii="仿宋" w:hAnsi="仿宋" w:eastAsia="仿宋" w:cs="仿宋"/>
          <w:color w:val="auto"/>
          <w:sz w:val="32"/>
          <w:szCs w:val="32"/>
          <w:u w:val="none"/>
          <w:lang w:eastAsia="zh-CN"/>
        </w:rPr>
        <w:t>有关法律、法规</w:t>
      </w:r>
      <w:r>
        <w:rPr>
          <w:rFonts w:hint="eastAsia" w:ascii="仿宋" w:hAnsi="仿宋" w:eastAsia="仿宋" w:cs="仿宋"/>
          <w:color w:val="auto"/>
          <w:sz w:val="32"/>
          <w:szCs w:val="32"/>
          <w:u w:val="none"/>
        </w:rPr>
        <w:t>予以处置；对负有责任的领导人员和直接责任人员依法</w:t>
      </w:r>
      <w:r>
        <w:rPr>
          <w:rFonts w:hint="eastAsia" w:ascii="仿宋" w:hAnsi="仿宋" w:eastAsia="仿宋" w:cs="仿宋"/>
          <w:color w:val="auto"/>
          <w:sz w:val="32"/>
          <w:szCs w:val="32"/>
          <w:u w:val="none"/>
          <w:lang w:eastAsia="zh-CN"/>
        </w:rPr>
        <w:t>依规</w:t>
      </w:r>
      <w:r>
        <w:rPr>
          <w:rFonts w:hint="eastAsia" w:ascii="仿宋" w:hAnsi="仿宋" w:eastAsia="仿宋" w:cs="仿宋"/>
          <w:color w:val="auto"/>
          <w:sz w:val="32"/>
          <w:szCs w:val="32"/>
          <w:u w:val="none"/>
        </w:rPr>
        <w:t>给予处分；涉嫌违纪违法犯罪的，及时移送纪检监察机关、司法</w:t>
      </w:r>
      <w:r>
        <w:rPr>
          <w:rFonts w:hint="eastAsia" w:ascii="仿宋" w:hAnsi="仿宋" w:eastAsia="仿宋" w:cs="仿宋"/>
          <w:color w:val="auto"/>
          <w:sz w:val="32"/>
          <w:szCs w:val="32"/>
          <w:u w:val="none"/>
          <w:lang w:eastAsia="zh-CN"/>
        </w:rPr>
        <w:t>行政</w:t>
      </w:r>
      <w:r>
        <w:rPr>
          <w:rFonts w:hint="eastAsia" w:ascii="仿宋" w:hAnsi="仿宋" w:eastAsia="仿宋" w:cs="仿宋"/>
          <w:color w:val="auto"/>
          <w:sz w:val="32"/>
          <w:szCs w:val="32"/>
          <w:u w:val="none"/>
        </w:rPr>
        <w:t>机关处理。</w:t>
      </w:r>
    </w:p>
    <w:p w14:paraId="49487C9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违法确定或者更换的评标委员会成员作出的评标结论无效。</w:t>
      </w:r>
    </w:p>
    <w:p w14:paraId="0AD7DED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第四十五条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专家违反有关规定的，由有关行政监督部门依据</w:t>
      </w:r>
      <w:r>
        <w:rPr>
          <w:rFonts w:hint="eastAsia" w:ascii="仿宋" w:hAnsi="仿宋" w:eastAsia="仿宋" w:cs="仿宋"/>
          <w:color w:val="auto"/>
          <w:sz w:val="32"/>
          <w:szCs w:val="32"/>
          <w:u w:val="none"/>
          <w:lang w:eastAsia="zh-CN"/>
        </w:rPr>
        <w:t>有关法律、法规</w:t>
      </w:r>
      <w:r>
        <w:rPr>
          <w:rFonts w:hint="eastAsia" w:ascii="仿宋" w:hAnsi="仿宋" w:eastAsia="仿宋" w:cs="仿宋"/>
          <w:color w:val="auto"/>
          <w:sz w:val="32"/>
          <w:szCs w:val="32"/>
          <w:u w:val="none"/>
        </w:rPr>
        <w:t>予以处置，并通报专家所在单位、入库审查单位和同级公共资源交易平台运行服务机构。涉嫌违纪违法犯罪的，及时移送纪检监察机关、司法</w:t>
      </w:r>
      <w:r>
        <w:rPr>
          <w:rFonts w:hint="eastAsia" w:ascii="仿宋" w:hAnsi="仿宋" w:eastAsia="仿宋" w:cs="仿宋"/>
          <w:color w:val="auto"/>
          <w:sz w:val="32"/>
          <w:szCs w:val="32"/>
          <w:u w:val="none"/>
          <w:lang w:eastAsia="zh-CN"/>
        </w:rPr>
        <w:t>行政</w:t>
      </w:r>
      <w:r>
        <w:rPr>
          <w:rFonts w:hint="eastAsia" w:ascii="仿宋" w:hAnsi="仿宋" w:eastAsia="仿宋" w:cs="仿宋"/>
          <w:color w:val="auto"/>
          <w:sz w:val="32"/>
          <w:szCs w:val="32"/>
          <w:u w:val="none"/>
        </w:rPr>
        <w:t>机关处理。</w:t>
      </w:r>
    </w:p>
    <w:p w14:paraId="6D9526C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有关行政监督部门应当将行政处罚决定记入专家电子档案，并向社会曝光专家违法违规行为。同级公共资源交易平台运行服务机构应当在评标场所予以曝光。</w:t>
      </w:r>
    </w:p>
    <w:p w14:paraId="50D02F2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第四十六条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各级行政监督部门和公共资源交易平台运行服务机构及其工作人员有下列情形之一的，按照管理权限，由其所在单位或者上级主管部门责令改正；情节严重的，对负有责任的领导人员和直接责任人员依法</w:t>
      </w:r>
      <w:r>
        <w:rPr>
          <w:rFonts w:hint="eastAsia" w:ascii="仿宋" w:hAnsi="仿宋" w:eastAsia="仿宋" w:cs="仿宋"/>
          <w:color w:val="auto"/>
          <w:sz w:val="32"/>
          <w:szCs w:val="32"/>
          <w:u w:val="none"/>
          <w:lang w:eastAsia="zh-CN"/>
        </w:rPr>
        <w:t>依规</w:t>
      </w:r>
      <w:r>
        <w:rPr>
          <w:rFonts w:hint="eastAsia" w:ascii="仿宋" w:hAnsi="仿宋" w:eastAsia="仿宋" w:cs="仿宋"/>
          <w:color w:val="auto"/>
          <w:sz w:val="32"/>
          <w:szCs w:val="32"/>
          <w:u w:val="none"/>
        </w:rPr>
        <w:t>给予处分；涉嫌违纪违法犯罪的，及时移送纪检监察机关、司法</w:t>
      </w:r>
      <w:r>
        <w:rPr>
          <w:rFonts w:hint="eastAsia" w:ascii="仿宋" w:hAnsi="仿宋" w:eastAsia="仿宋" w:cs="仿宋"/>
          <w:color w:val="auto"/>
          <w:sz w:val="32"/>
          <w:szCs w:val="32"/>
          <w:u w:val="none"/>
          <w:lang w:eastAsia="zh-CN"/>
        </w:rPr>
        <w:t>行政</w:t>
      </w:r>
      <w:r>
        <w:rPr>
          <w:rFonts w:hint="eastAsia" w:ascii="仿宋" w:hAnsi="仿宋" w:eastAsia="仿宋" w:cs="仿宋"/>
          <w:color w:val="auto"/>
          <w:sz w:val="32"/>
          <w:szCs w:val="32"/>
          <w:u w:val="none"/>
        </w:rPr>
        <w:t>机关处理。</w:t>
      </w:r>
    </w:p>
    <w:p w14:paraId="4ED28B48">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（一）未按本办法规定开展专家管理的；</w:t>
      </w:r>
    </w:p>
    <w:p w14:paraId="0757C0AB">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（二）违法泄露评标委员会成员名单的；</w:t>
      </w:r>
    </w:p>
    <w:p w14:paraId="6211D443">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pacing w:val="-6"/>
          <w:sz w:val="32"/>
          <w:szCs w:val="32"/>
          <w:u w:val="none"/>
          <w:lang w:eastAsia="zh-CN"/>
        </w:rPr>
      </w:pPr>
      <w:r>
        <w:rPr>
          <w:rFonts w:hint="eastAsia" w:ascii="仿宋" w:hAnsi="仿宋" w:eastAsia="仿宋" w:cs="仿宋"/>
          <w:color w:val="auto"/>
          <w:sz w:val="32"/>
          <w:szCs w:val="32"/>
          <w:u w:val="none"/>
        </w:rPr>
        <w:t>（三）</w:t>
      </w:r>
      <w:r>
        <w:rPr>
          <w:rFonts w:hint="eastAsia" w:ascii="仿宋" w:hAnsi="仿宋" w:eastAsia="仿宋" w:cs="仿宋"/>
          <w:color w:val="auto"/>
          <w:spacing w:val="-6"/>
          <w:sz w:val="32"/>
          <w:szCs w:val="32"/>
          <w:u w:val="none"/>
        </w:rPr>
        <w:t>以管理为名非法控制、干预或者影响专家的评标活动的；</w:t>
      </w:r>
    </w:p>
    <w:p w14:paraId="0E6D1A42">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（四）利用专家库开展其他业务谋取利益的；</w:t>
      </w:r>
    </w:p>
    <w:p w14:paraId="34C0E43B">
      <w:pPr>
        <w:keepNext w:val="0"/>
        <w:keepLines w:val="0"/>
        <w:pageBreakBefore w:val="0"/>
        <w:widowControl w:val="0"/>
        <w:kinsoku/>
        <w:wordWrap w:val="0"/>
        <w:overflowPunct/>
        <w:topLinePunct w:val="0"/>
        <w:autoSpaceDE/>
        <w:autoSpaceDN/>
        <w:bidi w:val="0"/>
        <w:adjustRightInd/>
        <w:snapToGrid/>
        <w:spacing w:line="580" w:lineRule="exact"/>
        <w:ind w:firstLine="518" w:firstLineChars="162"/>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（五）其他滥用职权、玩忽职守、徇私舞弊等违法违规行为。</w:t>
      </w:r>
    </w:p>
    <w:p w14:paraId="4AF3C5F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法律、法规对前款规定行为的处罚另有规定的，从其规定。</w:t>
      </w:r>
    </w:p>
    <w:p w14:paraId="0EF69CD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第四十七条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专家库系统运行维护机构及其工作人员违反有关规定的，由自治区公共资源交易中心依据</w:t>
      </w:r>
      <w:r>
        <w:rPr>
          <w:rFonts w:hint="eastAsia" w:ascii="仿宋" w:hAnsi="仿宋" w:eastAsia="仿宋" w:cs="仿宋"/>
          <w:color w:val="auto"/>
          <w:sz w:val="32"/>
          <w:szCs w:val="32"/>
          <w:u w:val="none"/>
          <w:lang w:eastAsia="zh-CN"/>
        </w:rPr>
        <w:t>有关法律、法规</w:t>
      </w:r>
      <w:r>
        <w:rPr>
          <w:rFonts w:hint="eastAsia" w:ascii="仿宋" w:hAnsi="仿宋" w:eastAsia="仿宋" w:cs="仿宋"/>
          <w:color w:val="auto"/>
          <w:sz w:val="32"/>
          <w:szCs w:val="32"/>
          <w:u w:val="none"/>
        </w:rPr>
        <w:t>予以处置，构成犯罪的，移送司法机关处理。</w:t>
      </w:r>
    </w:p>
    <w:p w14:paraId="741BB000">
      <w:pPr>
        <w:keepNext w:val="0"/>
        <w:keepLines w:val="0"/>
        <w:pageBreakBefore w:val="0"/>
        <w:widowControl w:val="0"/>
        <w:kinsoku/>
        <w:wordWrap w:val="0"/>
        <w:overflowPunct/>
        <w:topLinePunct w:val="0"/>
        <w:autoSpaceDE/>
        <w:autoSpaceDN/>
        <w:bidi w:val="0"/>
        <w:adjustRightInd/>
        <w:snapToGrid/>
        <w:spacing w:before="313" w:beforeLines="100" w:after="313" w:afterLines="100"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第八章  附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则</w:t>
      </w:r>
    </w:p>
    <w:p w14:paraId="682F1EC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第四十八条</w:t>
      </w:r>
      <w:r>
        <w:rPr>
          <w:rFonts w:hint="eastAsia" w:ascii="仿宋" w:hAnsi="仿宋" w:eastAsia="仿宋" w:cs="仿宋"/>
          <w:color w:val="auto"/>
          <w:sz w:val="32"/>
          <w:szCs w:val="32"/>
          <w:u w:val="none"/>
        </w:rPr>
        <w:t xml:space="preserve">  法律、法规、规章及国家有关规定对专家管理另有规定的，从其规定。</w:t>
      </w:r>
    </w:p>
    <w:p w14:paraId="3F838FB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u w:val="none"/>
        </w:rPr>
      </w:pPr>
      <w:r>
        <w:rPr>
          <w:rFonts w:hint="eastAsia" w:ascii="黑体" w:hAnsi="黑体" w:eastAsia="黑体" w:cs="黑体"/>
          <w:color w:val="auto"/>
          <w:sz w:val="32"/>
          <w:szCs w:val="32"/>
        </w:rPr>
        <w:t>第四十九条</w:t>
      </w:r>
      <w:r>
        <w:rPr>
          <w:rFonts w:hint="eastAsia" w:ascii="仿宋" w:hAnsi="仿宋" w:eastAsia="仿宋" w:cs="仿宋"/>
          <w:color w:val="auto"/>
          <w:sz w:val="32"/>
          <w:szCs w:val="32"/>
          <w:u w:val="none"/>
          <w:lang w:eastAsia="zh-CN"/>
        </w:rPr>
        <w:t xml:space="preserve">  </w:t>
      </w:r>
      <w:r>
        <w:rPr>
          <w:rFonts w:hint="eastAsia" w:ascii="仿宋" w:hAnsi="仿宋" w:eastAsia="仿宋" w:cs="仿宋"/>
          <w:color w:val="auto"/>
          <w:sz w:val="32"/>
          <w:szCs w:val="32"/>
          <w:u w:val="none"/>
        </w:rPr>
        <w:t>本办法自印发之日起施行。</w:t>
      </w:r>
    </w:p>
    <w:bookmarkEnd w:id="1"/>
    <w:p w14:paraId="66DCC8C7">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eastAsia" w:ascii="仿宋" w:hAnsi="仿宋" w:eastAsia="仿宋" w:cs="仿宋"/>
          <w:color w:val="auto"/>
          <w:sz w:val="32"/>
          <w:szCs w:val="32"/>
          <w:lang w:val="en-US" w:eastAsia="zh-CN"/>
        </w:rPr>
      </w:pPr>
    </w:p>
    <w:p w14:paraId="54BAC4CB">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eastAsia" w:ascii="仿宋" w:hAnsi="仿宋" w:eastAsia="仿宋" w:cs="仿宋"/>
          <w:color w:val="auto"/>
          <w:sz w:val="32"/>
          <w:szCs w:val="32"/>
          <w:lang w:val="en-US" w:eastAsia="zh-CN"/>
        </w:rPr>
      </w:pPr>
    </w:p>
    <w:p w14:paraId="394E9DC7">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z w:val="10"/>
          <w:szCs w:val="10"/>
          <w:lang w:val="en-US" w:eastAsia="zh-CN"/>
        </w:rPr>
      </w:pPr>
    </w:p>
    <w:p w14:paraId="20320A6A">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672E6BF0">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0BBE935C">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309D1181">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3BCFBEB3">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6252502D">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108FD41C">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697B5C5E">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626D3C8D">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4FE90C85">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6FCF500C">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6A27BAD0">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4D579643">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1DC28B9A">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004F8121">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31DC840D">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0B8753D6">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1F641D2B">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0E6C25D0">
      <w:pPr>
        <w:keepNext w:val="0"/>
        <w:keepLines w:val="0"/>
        <w:pageBreakBefore w:val="0"/>
        <w:widowControl w:val="0"/>
        <w:kinsoku/>
        <w:wordWrap w:val="0"/>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color w:val="auto"/>
          <w:sz w:val="10"/>
          <w:szCs w:val="10"/>
          <w:lang w:val="en-US" w:eastAsia="zh-CN"/>
        </w:rPr>
      </w:pPr>
    </w:p>
    <w:p w14:paraId="40B75847">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z w:val="10"/>
          <w:szCs w:val="10"/>
          <w:lang w:val="en-US" w:eastAsia="zh-CN"/>
        </w:rPr>
      </w:pPr>
    </w:p>
    <w:tbl>
      <w:tblPr>
        <w:tblStyle w:val="8"/>
        <w:tblW w:w="8968"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68"/>
      </w:tblGrid>
      <w:tr w14:paraId="546FB421">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968" w:type="dxa"/>
            <w:tcBorders>
              <w:tl2br w:val="nil"/>
              <w:tr2bl w:val="nil"/>
            </w:tcBorders>
            <w:noWrap w:val="0"/>
            <w:vAlign w:val="top"/>
          </w:tcPr>
          <w:p w14:paraId="286AEF83">
            <w:pPr>
              <w:keepNext w:val="0"/>
              <w:keepLines w:val="0"/>
              <w:pageBreakBefore w:val="0"/>
              <w:widowControl w:val="0"/>
              <w:kinsoku/>
              <w:wordWrap w:val="0"/>
              <w:overflowPunct/>
              <w:topLinePunct w:val="0"/>
              <w:autoSpaceDE/>
              <w:autoSpaceDN/>
              <w:bidi w:val="0"/>
              <w:adjustRightInd/>
              <w:snapToGrid/>
              <w:spacing w:line="400" w:lineRule="exact"/>
              <w:ind w:firstLine="280" w:firstLineChars="100"/>
              <w:textAlignment w:val="auto"/>
              <w:rPr>
                <w:rFonts w:hint="eastAsia" w:ascii="仿宋_GB2312" w:eastAsia="仿宋_GB2312"/>
                <w:color w:val="auto"/>
                <w:sz w:val="28"/>
              </w:rPr>
            </w:pPr>
            <w:r>
              <w:rPr>
                <w:rFonts w:hint="eastAsia" w:ascii="仿宋_GB2312" w:eastAsia="仿宋_GB2312"/>
                <w:color w:val="auto"/>
                <w:sz w:val="28"/>
              </w:rPr>
              <w:t>抄送：自治区党委各部门，内蒙古军区，武警内蒙古总队。</w:t>
            </w:r>
          </w:p>
          <w:p w14:paraId="7CC1B61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eastAsia="仿宋_GB2312"/>
                <w:color w:val="auto"/>
                <w:sz w:val="28"/>
                <w:lang w:eastAsia="zh-CN"/>
              </w:rPr>
            </w:pPr>
            <w:r>
              <w:rPr>
                <w:rFonts w:hint="eastAsia" w:ascii="仿宋_GB2312" w:eastAsia="仿宋_GB2312"/>
                <w:color w:val="auto"/>
                <w:sz w:val="28"/>
                <w:lang w:val="en-US" w:eastAsia="zh-CN"/>
              </w:rPr>
              <w:t xml:space="preserve">        </w:t>
            </w:r>
            <w:r>
              <w:rPr>
                <w:rFonts w:hint="eastAsia" w:ascii="仿宋_GB2312" w:eastAsia="仿宋_GB2312"/>
                <w:color w:val="auto"/>
                <w:sz w:val="28"/>
              </w:rPr>
              <w:t>自治区人大常委会办公厅</w:t>
            </w:r>
            <w:r>
              <w:rPr>
                <w:rFonts w:hint="eastAsia" w:ascii="仿宋_GB2312" w:eastAsia="仿宋_GB2312"/>
                <w:color w:val="auto"/>
                <w:sz w:val="28"/>
                <w:lang w:eastAsia="zh-CN"/>
              </w:rPr>
              <w:t>，自治区</w:t>
            </w:r>
            <w:r>
              <w:rPr>
                <w:rFonts w:hint="eastAsia" w:ascii="仿宋_GB2312" w:eastAsia="仿宋_GB2312"/>
                <w:color w:val="auto"/>
                <w:sz w:val="28"/>
              </w:rPr>
              <w:t>政协办公厅，</w:t>
            </w:r>
            <w:r>
              <w:rPr>
                <w:rFonts w:hint="eastAsia" w:ascii="仿宋_GB2312" w:eastAsia="仿宋_GB2312"/>
                <w:color w:val="auto"/>
                <w:sz w:val="28"/>
                <w:lang w:eastAsia="zh-CN"/>
              </w:rPr>
              <w:t>自治区监委，</w:t>
            </w:r>
          </w:p>
          <w:p w14:paraId="287CBFE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eastAsia="仿宋_GB2312"/>
                <w:color w:val="auto"/>
                <w:sz w:val="28"/>
              </w:rPr>
            </w:pPr>
            <w:r>
              <w:rPr>
                <w:rFonts w:hint="eastAsia" w:ascii="仿宋_GB2312" w:eastAsia="仿宋_GB2312"/>
                <w:color w:val="auto"/>
                <w:sz w:val="28"/>
                <w:lang w:val="en-US" w:eastAsia="zh-CN"/>
              </w:rPr>
              <w:t xml:space="preserve">        </w:t>
            </w:r>
            <w:r>
              <w:rPr>
                <w:rFonts w:hint="eastAsia" w:ascii="仿宋_GB2312" w:eastAsia="仿宋_GB2312"/>
                <w:color w:val="auto"/>
                <w:sz w:val="28"/>
                <w:lang w:eastAsia="zh-CN"/>
              </w:rPr>
              <w:t>自治区高</w:t>
            </w:r>
            <w:r>
              <w:rPr>
                <w:rFonts w:hint="eastAsia" w:ascii="仿宋_GB2312" w:eastAsia="仿宋_GB2312"/>
                <w:color w:val="auto"/>
                <w:sz w:val="28"/>
              </w:rPr>
              <w:t>级人民法院，</w:t>
            </w:r>
            <w:r>
              <w:rPr>
                <w:rFonts w:hint="eastAsia" w:ascii="仿宋_GB2312" w:eastAsia="仿宋_GB2312"/>
                <w:color w:val="auto"/>
                <w:sz w:val="28"/>
                <w:lang w:eastAsia="zh-CN"/>
              </w:rPr>
              <w:t>自治区人民</w:t>
            </w:r>
            <w:r>
              <w:rPr>
                <w:rFonts w:hint="eastAsia" w:ascii="仿宋_GB2312" w:eastAsia="仿宋_GB2312"/>
                <w:color w:val="auto"/>
                <w:sz w:val="28"/>
              </w:rPr>
              <w:t>检察院。</w:t>
            </w:r>
          </w:p>
          <w:p w14:paraId="3C9B1EA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仿宋_GB2312" w:eastAsia="仿宋_GB2312"/>
                <w:color w:val="auto"/>
                <w:sz w:val="28"/>
              </w:rPr>
            </w:pPr>
            <w:r>
              <w:rPr>
                <w:rFonts w:hint="eastAsia" w:ascii="仿宋_GB2312" w:eastAsia="仿宋_GB2312"/>
                <w:color w:val="auto"/>
                <w:sz w:val="28"/>
                <w:lang w:val="en-US" w:eastAsia="zh-CN"/>
              </w:rPr>
              <w:t xml:space="preserve">        </w:t>
            </w:r>
            <w:r>
              <w:rPr>
                <w:rFonts w:hint="eastAsia" w:ascii="仿宋_GB2312" w:eastAsia="仿宋_GB2312"/>
                <w:color w:val="auto"/>
                <w:sz w:val="28"/>
                <w:lang w:eastAsia="zh-CN"/>
              </w:rPr>
              <w:t>各民主党派区委会，</w:t>
            </w:r>
            <w:r>
              <w:rPr>
                <w:rFonts w:hint="eastAsia" w:ascii="仿宋_GB2312" w:eastAsia="仿宋_GB2312"/>
                <w:color w:val="auto"/>
                <w:sz w:val="28"/>
              </w:rPr>
              <w:t>各人民团体，新闻单位。</w:t>
            </w:r>
          </w:p>
        </w:tc>
      </w:tr>
      <w:tr w14:paraId="08AD8943">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5" w:hRule="atLeast"/>
        </w:trPr>
        <w:tc>
          <w:tcPr>
            <w:tcW w:w="8968" w:type="dxa"/>
            <w:tcBorders>
              <w:tl2br w:val="nil"/>
              <w:tr2bl w:val="nil"/>
            </w:tcBorders>
            <w:noWrap w:val="0"/>
            <w:vAlign w:val="center"/>
          </w:tcPr>
          <w:p w14:paraId="5319E816">
            <w:pPr>
              <w:keepNext w:val="0"/>
              <w:keepLines w:val="0"/>
              <w:pageBreakBefore w:val="0"/>
              <w:widowControl w:val="0"/>
              <w:tabs>
                <w:tab w:val="left" w:pos="420"/>
              </w:tabs>
              <w:kinsoku/>
              <w:wordWrap w:val="0"/>
              <w:overflowPunct/>
              <w:topLinePunct w:val="0"/>
              <w:autoSpaceDE/>
              <w:autoSpaceDN/>
              <w:bidi w:val="0"/>
              <w:adjustRightInd/>
              <w:snapToGrid/>
              <w:spacing w:line="400" w:lineRule="exact"/>
              <w:ind w:firstLine="280" w:firstLineChars="100"/>
              <w:jc w:val="both"/>
              <w:textAlignment w:val="auto"/>
              <w:rPr>
                <w:rFonts w:ascii="仿宋_GB2312" w:eastAsia="仿宋_GB2312"/>
                <w:color w:val="auto"/>
                <w:sz w:val="28"/>
              </w:rPr>
            </w:pPr>
            <w:r>
              <w:rPr>
                <w:rFonts w:hint="eastAsia" w:ascii="仿宋_GB2312" w:eastAsia="仿宋_GB2312"/>
                <w:color w:val="auto"/>
                <w:sz w:val="28"/>
              </w:rPr>
              <w:t>内蒙古自治区人民政府办公厅文电处       202</w:t>
            </w:r>
            <w:r>
              <w:rPr>
                <w:rFonts w:hint="eastAsia" w:ascii="仿宋_GB2312" w:eastAsia="仿宋_GB2312"/>
                <w:color w:val="auto"/>
                <w:sz w:val="28"/>
                <w:lang w:val="en-US" w:eastAsia="zh-CN"/>
              </w:rPr>
              <w:t>6</w:t>
            </w:r>
            <w:r>
              <w:rPr>
                <w:rFonts w:hint="eastAsia" w:ascii="仿宋_GB2312" w:eastAsia="仿宋_GB2312"/>
                <w:color w:val="auto"/>
                <w:sz w:val="28"/>
              </w:rPr>
              <w:t>年</w:t>
            </w:r>
            <w:r>
              <w:rPr>
                <w:rFonts w:hint="eastAsia" w:ascii="仿宋_GB2312" w:eastAsia="仿宋_GB2312"/>
                <w:color w:val="auto"/>
                <w:sz w:val="28"/>
                <w:lang w:eastAsia="zh-CN"/>
              </w:rPr>
              <w:t>4</w:t>
            </w:r>
            <w:r>
              <w:rPr>
                <w:rFonts w:hint="eastAsia" w:ascii="仿宋_GB2312" w:eastAsia="仿宋_GB2312"/>
                <w:color w:val="auto"/>
                <w:sz w:val="28"/>
              </w:rPr>
              <w:t>月</w:t>
            </w:r>
            <w:r>
              <w:rPr>
                <w:rFonts w:hint="eastAsia" w:ascii="仿宋_GB2312" w:eastAsia="仿宋_GB2312"/>
                <w:color w:val="auto"/>
                <w:sz w:val="28"/>
                <w:lang w:eastAsia="zh-CN"/>
              </w:rPr>
              <w:t>1</w:t>
            </w:r>
            <w:r>
              <w:rPr>
                <w:rFonts w:hint="eastAsia" w:ascii="仿宋_GB2312" w:eastAsia="仿宋_GB2312"/>
                <w:color w:val="auto"/>
                <w:sz w:val="28"/>
                <w:lang w:val="en-US" w:eastAsia="zh-CN"/>
              </w:rPr>
              <w:t>5</w:t>
            </w:r>
            <w:r>
              <w:rPr>
                <w:rFonts w:hint="eastAsia" w:ascii="仿宋_GB2312" w:eastAsia="仿宋_GB2312"/>
                <w:color w:val="auto"/>
                <w:sz w:val="28"/>
              </w:rPr>
              <w:t>日印发</w:t>
            </w:r>
          </w:p>
        </w:tc>
      </w:tr>
    </w:tbl>
    <w:p w14:paraId="0317C981">
      <w:pPr>
        <w:keepNext w:val="0"/>
        <w:keepLines w:val="0"/>
        <w:pageBreakBefore w:val="0"/>
        <w:widowControl w:val="0"/>
        <w:kinsoku/>
        <w:wordWrap w:val="0"/>
        <w:overflowPunct/>
        <w:topLinePunct w:val="0"/>
        <w:autoSpaceDE/>
        <w:autoSpaceDN/>
        <w:bidi w:val="0"/>
        <w:adjustRightInd w:val="0"/>
        <w:snapToGrid w:val="0"/>
        <w:spacing w:line="20" w:lineRule="exact"/>
        <w:ind w:firstLine="640" w:firstLineChars="200"/>
        <w:textAlignment w:val="auto"/>
        <w:outlineLvl w:val="0"/>
        <w:rPr>
          <w:rFonts w:hint="eastAsia"/>
        </w:rPr>
      </w:pPr>
      <w:r>
        <w:rPr>
          <w:rFonts w:hint="eastAsia" w:ascii="黑体" w:eastAsia="黑体"/>
          <w:sz w:val="32"/>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14:paraId="5AA193A1">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48945"/>
                                  <wp:effectExtent l="0" t="0" r="13335" b="8255"/>
                                  <wp:docPr id="2" name="图片 3" descr="20260416094750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60416094750_5335"/>
                                          <pic:cNvPicPr>
                                            <a:picLocks noChangeAspect="1"/>
                                          </pic:cNvPicPr>
                                        </pic:nvPicPr>
                                        <pic:blipFill>
                                          <a:blip r:embed="rId8"/>
                                          <a:stretch>
                                            <a:fillRect/>
                                          </a:stretch>
                                        </pic:blipFill>
                                        <pic:spPr>
                                          <a:xfrm>
                                            <a:off x="0" y="0"/>
                                            <a:ext cx="1758315" cy="44894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diKINkBAADBAwAA&#10;DgAAAAAAAAABACAAAAAqAQAAZHJzL2Uyb0RvYy54bWxQSwUGAAAAAAYABgBZAQAAdQUAAAAA&#10;">
                <v:fill on="t" focussize="0,0"/>
                <v:stroke on="f"/>
                <v:imagedata o:title=""/>
                <o:lock v:ext="edit" aspectratio="f"/>
                <v:textbox style="mso-fit-shape-to-text:t;">
                  <w:txbxContent>
                    <w:p w14:paraId="5AA193A1">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48945"/>
                            <wp:effectExtent l="0" t="0" r="13335" b="8255"/>
                            <wp:docPr id="2" name="图片 3" descr="20260416094750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60416094750_5335"/>
                                    <pic:cNvPicPr>
                                      <a:picLocks noChangeAspect="1"/>
                                    </pic:cNvPicPr>
                                  </pic:nvPicPr>
                                  <pic:blipFill>
                                    <a:blip r:embed="rId8"/>
                                    <a:stretch>
                                      <a:fillRect/>
                                    </a:stretch>
                                  </pic:blipFill>
                                  <pic:spPr>
                                    <a:xfrm>
                                      <a:off x="0" y="0"/>
                                      <a:ext cx="1758315" cy="44894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AA6EC">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- 1 -</w:t>
    </w:r>
    <w:r>
      <w:rPr>
        <w:rFonts w:hint="eastAsia" w:ascii="宋体" w:hAnsi="宋体"/>
        <w:sz w:val="28"/>
        <w:szCs w:val="28"/>
      </w:rPr>
      <w:fldChar w:fldCharType="end"/>
    </w:r>
  </w:p>
  <w:p w14:paraId="0BA4610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3C82">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p w14:paraId="51A0149B">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DAE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11E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5A43058"/>
    <w:rsid w:val="074D26E8"/>
    <w:rsid w:val="088445D6"/>
    <w:rsid w:val="0ACD69C7"/>
    <w:rsid w:val="0C1520F5"/>
    <w:rsid w:val="0C770752"/>
    <w:rsid w:val="10AA3895"/>
    <w:rsid w:val="110F26B1"/>
    <w:rsid w:val="13404ED0"/>
    <w:rsid w:val="15466AF5"/>
    <w:rsid w:val="199247B0"/>
    <w:rsid w:val="1A7D41CF"/>
    <w:rsid w:val="1AFE85E1"/>
    <w:rsid w:val="1C1D693B"/>
    <w:rsid w:val="1CE50ACF"/>
    <w:rsid w:val="1FD3237E"/>
    <w:rsid w:val="216122E4"/>
    <w:rsid w:val="21CE0EBF"/>
    <w:rsid w:val="229719A3"/>
    <w:rsid w:val="24485B15"/>
    <w:rsid w:val="339B353D"/>
    <w:rsid w:val="36FD36D6"/>
    <w:rsid w:val="3BF55EB1"/>
    <w:rsid w:val="4224574B"/>
    <w:rsid w:val="425619D4"/>
    <w:rsid w:val="456E4695"/>
    <w:rsid w:val="48E9042E"/>
    <w:rsid w:val="4A456A7E"/>
    <w:rsid w:val="4BB12688"/>
    <w:rsid w:val="4FD53A9D"/>
    <w:rsid w:val="51650C56"/>
    <w:rsid w:val="51F129BD"/>
    <w:rsid w:val="5BAE3879"/>
    <w:rsid w:val="5C537A7F"/>
    <w:rsid w:val="5CFD224F"/>
    <w:rsid w:val="5DD06544"/>
    <w:rsid w:val="5FFBF5A9"/>
    <w:rsid w:val="619D5C96"/>
    <w:rsid w:val="64B86B45"/>
    <w:rsid w:val="64FF2464"/>
    <w:rsid w:val="662933E5"/>
    <w:rsid w:val="69DE2C5F"/>
    <w:rsid w:val="6C5DB66A"/>
    <w:rsid w:val="6D9E43A8"/>
    <w:rsid w:val="6F2C465B"/>
    <w:rsid w:val="700A0263"/>
    <w:rsid w:val="719F311C"/>
    <w:rsid w:val="7BB12AA8"/>
    <w:rsid w:val="7BBE0115"/>
    <w:rsid w:val="7D164783"/>
    <w:rsid w:val="7D7DCC37"/>
    <w:rsid w:val="7DFD40CC"/>
    <w:rsid w:val="7E960D71"/>
    <w:rsid w:val="7FBC9B52"/>
    <w:rsid w:val="7FEB7C39"/>
    <w:rsid w:val="9AFB19A2"/>
    <w:rsid w:val="9BB95E7A"/>
    <w:rsid w:val="9FFDD00E"/>
    <w:rsid w:val="CADF6115"/>
    <w:rsid w:val="DE5D0DF0"/>
    <w:rsid w:val="DF9F9CCE"/>
    <w:rsid w:val="EBBD3917"/>
    <w:rsid w:val="EDFD2363"/>
    <w:rsid w:val="FECF42CD"/>
    <w:rsid w:val="FFA101B0"/>
    <w:rsid w:val="FFBEC90E"/>
    <w:rsid w:val="FFFFF9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700" w:lineRule="exact"/>
      <w:jc w:val="center"/>
      <w:outlineLvl w:val="0"/>
    </w:pPr>
    <w:rPr>
      <w:rFonts w:ascii="方正小标宋简体" w:hAnsi="方正小标宋简体" w:eastAsia="方正小标宋简体" w:cs="方正小标宋简体"/>
      <w:sz w:val="48"/>
      <w:szCs w:val="48"/>
      <w:lang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Date"/>
    <w:basedOn w:val="1"/>
    <w:next w:val="1"/>
    <w:link w:val="12"/>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 Char Char2"/>
    <w:basedOn w:val="10"/>
    <w:link w:val="4"/>
    <w:uiPriority w:val="0"/>
    <w:rPr>
      <w:rFonts w:ascii="仿宋_GB2312" w:hAnsi="Times New Roman" w:eastAsia="仿宋_GB2312" w:cs="Times New Roman"/>
      <w:kern w:val="2"/>
      <w:sz w:val="32"/>
      <w:szCs w:val="24"/>
      <w:lang w:bidi="ar-SA"/>
    </w:rPr>
  </w:style>
  <w:style w:type="character" w:customStyle="1" w:styleId="13">
    <w:name w:val=" Char Char"/>
    <w:basedOn w:val="10"/>
    <w:link w:val="6"/>
    <w:semiHidden/>
    <w:uiPriority w:val="99"/>
    <w:rPr>
      <w:rFonts w:ascii="Calibri" w:hAnsi="Calibri" w:eastAsia="宋体" w:cs="Mongolian Baiti"/>
      <w:kern w:val="2"/>
      <w:sz w:val="18"/>
      <w:szCs w:val="22"/>
    </w:rPr>
  </w:style>
  <w:style w:type="character" w:customStyle="1" w:styleId="14">
    <w:name w:val=" Char Char1"/>
    <w:basedOn w:val="10"/>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19</Pages>
  <Words>8359</Words>
  <Characters>8403</Characters>
  <Lines>1</Lines>
  <Paragraphs>1</Paragraphs>
  <TotalTime>20</TotalTime>
  <ScaleCrop>false</ScaleCrop>
  <LinksUpToDate>false</LinksUpToDate>
  <CharactersWithSpaces>8585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VanNessZ</cp:lastModifiedBy>
  <dcterms:modified xsi:type="dcterms:W3CDTF">2026-04-21T14:56:50Z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eyJoZGlkIjoiN2FkZWVmN2NlNjgyYzE2Y2EyMzI1MWY5ODBiZmE4N2EiLCJ1c2VySWQiOiIzNDY0NjYzNjYifQ==</vt:lpwstr>
  </property>
  <property fmtid="{D5CDD505-2E9C-101B-9397-08002B2CF9AE}" pid="4" name="ICV">
    <vt:lpwstr>BFE4B9F76C5C455BB7F38C455EDABB2A_13</vt:lpwstr>
  </property>
</Properties>
</file>