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spacing w:line="480" w:lineRule="exact"/>
        <w:jc w:val="center"/>
        <w:textAlignment w:val="auto"/>
        <w:rPr>
          <w:rFonts w:hint="eastAsia" w:ascii="方正小标宋简体" w:eastAsia="方正小标宋简体"/>
          <w:sz w:val="44"/>
          <w:szCs w:val="44"/>
          <w:lang w:eastAsia="zh-CN"/>
        </w:rPr>
      </w:pPr>
    </w:p>
    <w:p>
      <w:pPr>
        <w:keepNext w:val="0"/>
        <w:keepLines w:val="0"/>
        <w:pageBreakBefore w:val="0"/>
        <w:widowControl w:val="0"/>
        <w:kinsoku/>
        <w:wordWrap/>
        <w:overflowPunct/>
        <w:topLinePunct/>
        <w:autoSpaceDE/>
        <w:autoSpaceDN/>
        <w:bidi w:val="0"/>
        <w:spacing w:line="48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内蒙古自治区人民政府关于印发</w:t>
      </w:r>
    </w:p>
    <w:p>
      <w:pPr>
        <w:keepNext w:val="0"/>
        <w:keepLines w:val="0"/>
        <w:pageBreakBefore w:val="0"/>
        <w:widowControl w:val="0"/>
        <w:kinsoku/>
        <w:wordWrap/>
        <w:overflowPunct/>
        <w:topLinePunct/>
        <w:autoSpaceDE/>
        <w:autoSpaceDN/>
        <w:bidi w:val="0"/>
        <w:spacing w:line="48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自治区服务业扩能提质实施方案的通知</w:t>
      </w:r>
    </w:p>
    <w:p>
      <w:pPr>
        <w:pStyle w:val="2"/>
        <w:rPr>
          <w:rFonts w:hint="eastAsia"/>
          <w:b w:val="0"/>
          <w:bCs w:val="0"/>
          <w:lang w:eastAsia="zh-CN"/>
        </w:rPr>
      </w:pPr>
      <w:bookmarkStart w:id="1" w:name="_GoBack"/>
      <w:r>
        <w:rPr>
          <w:rFonts w:hint="eastAsia" w:ascii="仿宋_GB2312" w:hAnsi="华文仿宋" w:eastAsia="仿宋_GB2312"/>
          <w:b w:val="0"/>
          <w:bCs w:val="0"/>
          <w:sz w:val="32"/>
          <w:lang w:eastAsia="zh-CN"/>
        </w:rPr>
        <w:t>内政发〔2026〕1</w:t>
      </w:r>
      <w:r>
        <w:rPr>
          <w:rFonts w:hint="eastAsia" w:ascii="仿宋_GB2312" w:hAnsi="华文仿宋" w:eastAsia="仿宋_GB2312"/>
          <w:b w:val="0"/>
          <w:bCs w:val="0"/>
          <w:sz w:val="32"/>
          <w:lang w:val="en-US" w:eastAsia="zh-CN"/>
        </w:rPr>
        <w:t>7</w:t>
      </w:r>
      <w:r>
        <w:rPr>
          <w:rFonts w:hint="eastAsia" w:ascii="仿宋_GB2312" w:hAnsi="华文仿宋" w:eastAsia="仿宋_GB2312"/>
          <w:b w:val="0"/>
          <w:bCs w:val="0"/>
          <w:sz w:val="32"/>
          <w:lang w:eastAsia="zh-CN"/>
        </w:rPr>
        <w:t>号</w:t>
      </w:r>
    </w:p>
    <w:bookmarkEnd w:id="1"/>
    <w:p>
      <w:pPr>
        <w:keepNext w:val="0"/>
        <w:keepLines w:val="0"/>
        <w:pageBreakBefore w:val="0"/>
        <w:widowControl w:val="0"/>
        <w:numPr>
          <w:ilvl w:val="0"/>
          <w:numId w:val="0"/>
        </w:numPr>
        <w:suppressAutoHyphens/>
        <w:kinsoku/>
        <w:wordWrap/>
        <w:overflowPunct/>
        <w:topLinePunct/>
        <w:autoSpaceDE/>
        <w:autoSpaceDN/>
        <w:bidi w:val="0"/>
        <w:adjustRightInd/>
        <w:snapToGrid/>
        <w:spacing w:line="480" w:lineRule="exact"/>
        <w:ind w:right="0" w:rightChars="0"/>
        <w:jc w:val="both"/>
        <w:textAlignment w:val="auto"/>
        <w:outlineLvl w:val="9"/>
        <w:rPr>
          <w:rFonts w:hint="default" w:ascii="Times New Roman" w:hAnsi="Times New Roman" w:eastAsia="方正仿宋_GBK" w:cs="Times New Roman"/>
          <w:color w:val="auto"/>
          <w:sz w:val="32"/>
          <w:szCs w:val="32"/>
          <w:highlight w:val="none"/>
          <w:lang w:val="en-US" w:eastAsia="zh-CN"/>
        </w:rPr>
      </w:pPr>
    </w:p>
    <w:p>
      <w:pPr>
        <w:keepNext w:val="0"/>
        <w:keepLines w:val="0"/>
        <w:pageBreakBefore w:val="0"/>
        <w:widowControl w:val="0"/>
        <w:numPr>
          <w:ilvl w:val="0"/>
          <w:numId w:val="0"/>
        </w:numPr>
        <w:suppressAutoHyphens/>
        <w:kinsoku/>
        <w:wordWrap/>
        <w:overflowPunct/>
        <w:topLinePunct/>
        <w:autoSpaceDE/>
        <w:autoSpaceDN/>
        <w:bidi w:val="0"/>
        <w:adjustRightInd/>
        <w:snapToGrid/>
        <w:spacing w:line="400" w:lineRule="exact"/>
        <w:ind w:right="0" w:rightChars="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各盟行政公署、市人民政府，自治区各委、办、厅、局，各大企业、事业单位：</w:t>
      </w:r>
    </w:p>
    <w:p>
      <w:pPr>
        <w:keepNext w:val="0"/>
        <w:keepLines w:val="0"/>
        <w:pageBreakBefore w:val="0"/>
        <w:widowControl w:val="0"/>
        <w:numPr>
          <w:ilvl w:val="0"/>
          <w:numId w:val="0"/>
        </w:numPr>
        <w:suppressAutoHyphens/>
        <w:kinsoku/>
        <w:wordWrap/>
        <w:overflowPunct/>
        <w:topLinePunct/>
        <w:autoSpaceDE/>
        <w:autoSpaceDN/>
        <w:bidi w:val="0"/>
        <w:adjustRightInd/>
        <w:snapToGrid/>
        <w:spacing w:line="400" w:lineRule="exact"/>
        <w:ind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现将《内蒙古自治区服务业扩能提质实施方案》印发给你们，请结合实际认真贯彻落实。</w:t>
      </w:r>
    </w:p>
    <w:p>
      <w:pPr>
        <w:keepNext w:val="0"/>
        <w:keepLines w:val="0"/>
        <w:pageBreakBefore w:val="0"/>
        <w:widowControl w:val="0"/>
        <w:numPr>
          <w:ilvl w:val="0"/>
          <w:numId w:val="0"/>
        </w:numPr>
        <w:suppressAutoHyphens/>
        <w:kinsoku/>
        <w:wordWrap/>
        <w:overflowPunct/>
        <w:topLinePunct/>
        <w:autoSpaceDE/>
        <w:autoSpaceDN/>
        <w:bidi w:val="0"/>
        <w:adjustRightInd/>
        <w:snapToGrid/>
        <w:spacing w:line="500" w:lineRule="exact"/>
        <w:ind w:right="0" w:rightChars="0"/>
        <w:jc w:val="both"/>
        <w:textAlignment w:val="auto"/>
        <w:outlineLvl w:val="9"/>
        <w:rPr>
          <w:rFonts w:hint="eastAsia" w:ascii="仿宋" w:hAnsi="仿宋" w:eastAsia="仿宋" w:cs="仿宋"/>
          <w:color w:val="auto"/>
          <w:sz w:val="32"/>
          <w:szCs w:val="32"/>
          <w:highlight w:val="none"/>
          <w:lang w:val="en-US" w:eastAsia="zh-CN"/>
        </w:rPr>
      </w:pPr>
    </w:p>
    <w:p>
      <w:pPr>
        <w:pStyle w:val="2"/>
        <w:keepNext w:val="0"/>
        <w:keepLines w:val="0"/>
        <w:pageBreakBefore w:val="0"/>
        <w:widowControl w:val="0"/>
        <w:kinsoku/>
        <w:wordWrap/>
        <w:overflowPunct/>
        <w:topLinePunct/>
        <w:autoSpaceDE/>
        <w:autoSpaceDN/>
        <w:bidi w:val="0"/>
        <w:adjustRightInd/>
        <w:snapToGrid/>
        <w:spacing w:line="620" w:lineRule="exact"/>
        <w:jc w:val="both"/>
        <w:textAlignment w:val="auto"/>
        <w:rPr>
          <w:rFonts w:hint="eastAsia" w:ascii="仿宋" w:hAnsi="仿宋" w:eastAsia="仿宋" w:cs="仿宋"/>
          <w:sz w:val="32"/>
          <w:szCs w:val="32"/>
          <w:lang w:val="en-US" w:eastAsia="zh-CN"/>
        </w:rPr>
      </w:pPr>
    </w:p>
    <w:p>
      <w:pPr>
        <w:pStyle w:val="3"/>
        <w:keepNext w:val="0"/>
        <w:keepLines w:val="0"/>
        <w:pageBreakBefore w:val="0"/>
        <w:widowControl w:val="0"/>
        <w:kinsoku/>
        <w:wordWrap/>
        <w:overflowPunct/>
        <w:autoSpaceDE/>
        <w:autoSpaceDN/>
        <w:bidi w:val="0"/>
        <w:adjustRightInd/>
        <w:snapToGrid/>
        <w:spacing w:line="620" w:lineRule="exact"/>
        <w:ind w:left="0" w:leftChars="0" w:firstLine="0" w:firstLineChars="0"/>
        <w:textAlignment w:val="auto"/>
        <w:rPr>
          <w:rFonts w:hint="eastAsia" w:ascii="仿宋" w:hAnsi="仿宋" w:eastAsia="仿宋" w:cs="仿宋"/>
          <w:sz w:val="32"/>
          <w:szCs w:val="32"/>
          <w:lang w:val="en-US" w:eastAsia="zh-CN"/>
        </w:rPr>
      </w:pPr>
    </w:p>
    <w:p>
      <w:pPr>
        <w:keepNext w:val="0"/>
        <w:keepLines w:val="0"/>
        <w:pageBreakBefore w:val="0"/>
        <w:widowControl w:val="0"/>
        <w:numPr>
          <w:ilvl w:val="0"/>
          <w:numId w:val="0"/>
        </w:numPr>
        <w:tabs>
          <w:tab w:val="left" w:pos="7350"/>
          <w:tab w:val="left" w:pos="7560"/>
        </w:tabs>
        <w:suppressAutoHyphens/>
        <w:kinsoku/>
        <w:wordWrap/>
        <w:overflowPunct/>
        <w:topLinePunct/>
        <w:autoSpaceDE/>
        <w:autoSpaceDN/>
        <w:bidi w:val="0"/>
        <w:adjustRightInd/>
        <w:snapToGrid/>
        <w:spacing w:line="360" w:lineRule="exact"/>
        <w:ind w:right="0" w:rightChars="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2026年6月23日</w:t>
      </w:r>
    </w:p>
    <w:p>
      <w:pPr>
        <w:pStyle w:val="2"/>
        <w:keepNext w:val="0"/>
        <w:keepLines w:val="0"/>
        <w:pageBreakBefore w:val="0"/>
        <w:widowControl w:val="0"/>
        <w:kinsoku/>
        <w:wordWrap/>
        <w:overflowPunct/>
        <w:topLinePunct/>
        <w:autoSpaceDE/>
        <w:autoSpaceDN/>
        <w:bidi w:val="0"/>
        <w:adjustRightInd/>
        <w:snapToGrid/>
        <w:spacing w:line="360" w:lineRule="exact"/>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（此件公开发布）</w:t>
      </w:r>
    </w:p>
    <w:p>
      <w:pPr>
        <w:pStyle w:val="3"/>
        <w:rPr>
          <w:rFonts w:hint="eastAsia"/>
          <w:lang w:val="en-US" w:eastAsia="zh-CN"/>
        </w:rPr>
      </w:pPr>
    </w:p>
    <w:p>
      <w:pPr>
        <w:pStyle w:val="4"/>
        <w:rPr>
          <w:rFonts w:hint="eastAsia"/>
          <w:lang w:val="en-US" w:eastAsia="zh-CN"/>
        </w:rPr>
      </w:pPr>
    </w:p>
    <w:p>
      <w:pPr>
        <w:rPr>
          <w:rFonts w:hint="eastAsia"/>
          <w:lang w:val="en-US" w:eastAsia="zh-CN"/>
        </w:rPr>
      </w:pPr>
      <w:r>
        <w:rPr>
          <w:rFonts w:hint="eastAsia"/>
          <w:lang w:val="en-US" w:eastAsia="zh-CN"/>
        </w:rPr>
        <w:br w:type="textWrapping"/>
      </w:r>
      <w:r>
        <w:rPr>
          <w:rFonts w:hint="eastAsia"/>
          <w:lang w:val="en-US" w:eastAsia="zh-CN"/>
        </w:rPr>
        <w:br w:type="textWrapping"/>
      </w:r>
    </w:p>
    <w:p>
      <w:pPr>
        <w:pStyle w:val="2"/>
        <w:rPr>
          <w:rFonts w:hint="eastAsia"/>
          <w:lang w:val="en-US" w:eastAsia="zh-CN"/>
        </w:rPr>
      </w:pPr>
    </w:p>
    <w:p>
      <w:pPr>
        <w:pStyle w:val="3"/>
        <w:rPr>
          <w:rFonts w:hint="eastAsia"/>
          <w:lang w:val="en-US" w:eastAsia="zh-CN"/>
        </w:rPr>
      </w:pPr>
    </w:p>
    <w:p>
      <w:pPr>
        <w:pStyle w:val="4"/>
        <w:rPr>
          <w:rFonts w:hint="eastAsia"/>
          <w:lang w:val="en-US" w:eastAsia="zh-CN"/>
        </w:rPr>
      </w:pPr>
    </w:p>
    <w:p>
      <w:pPr>
        <w:rPr>
          <w:rFonts w:hint="eastAsia"/>
          <w:lang w:val="en-US" w:eastAsia="zh-CN"/>
        </w:rPr>
      </w:pPr>
    </w:p>
    <w:p>
      <w:pPr>
        <w:pStyle w:val="2"/>
        <w:rPr>
          <w:rFonts w:hint="eastAsia"/>
          <w:lang w:val="en-US" w:eastAsia="zh-CN"/>
        </w:rPr>
      </w:pPr>
    </w:p>
    <w:p>
      <w:pPr>
        <w:keepNext w:val="0"/>
        <w:keepLines w:val="0"/>
        <w:pageBreakBefore w:val="0"/>
        <w:widowControl w:val="0"/>
        <w:suppressAutoHyphens/>
        <w:kinsoku/>
        <w:wordWrap/>
        <w:overflowPunct/>
        <w:topLinePunct/>
        <w:autoSpaceDE/>
        <w:autoSpaceDN/>
        <w:bidi w:val="0"/>
        <w:adjustRightInd/>
        <w:snapToGrid/>
        <w:spacing w:line="580" w:lineRule="exact"/>
        <w:ind w:right="0" w:rightChars="0"/>
        <w:jc w:val="center"/>
        <w:textAlignment w:val="auto"/>
        <w:outlineLvl w:val="9"/>
        <w:rPr>
          <w:rFonts w:hint="eastAsia" w:ascii="方正小标宋简体" w:hAnsi="方正小标宋简体" w:eastAsia="方正小标宋简体" w:cs="方正小标宋简体"/>
          <w:b w:val="0"/>
          <w:bCs w:val="0"/>
          <w:color w:val="auto"/>
          <w:sz w:val="44"/>
          <w:szCs w:val="44"/>
          <w:u w:val="none"/>
          <w:lang w:eastAsia="zh-CN"/>
        </w:rPr>
      </w:pPr>
    </w:p>
    <w:p>
      <w:pPr>
        <w:keepNext w:val="0"/>
        <w:keepLines w:val="0"/>
        <w:pageBreakBefore w:val="0"/>
        <w:widowControl w:val="0"/>
        <w:suppressAutoHyphens/>
        <w:kinsoku/>
        <w:wordWrap/>
        <w:overflowPunct/>
        <w:topLinePunct/>
        <w:autoSpaceDE/>
        <w:autoSpaceDN/>
        <w:bidi w:val="0"/>
        <w:adjustRightInd/>
        <w:snapToGrid/>
        <w:spacing w:line="580" w:lineRule="exact"/>
        <w:ind w:right="0" w:rightChars="0"/>
        <w:jc w:val="center"/>
        <w:textAlignment w:val="auto"/>
        <w:outlineLvl w:val="9"/>
        <w:rPr>
          <w:rFonts w:hint="eastAsia" w:ascii="方正小标宋简体" w:hAnsi="方正小标宋简体" w:eastAsia="方正小标宋简体" w:cs="方正小标宋简体"/>
          <w:b w:val="0"/>
          <w:bCs w:val="0"/>
          <w:color w:val="auto"/>
          <w:sz w:val="44"/>
          <w:szCs w:val="44"/>
          <w:u w:val="none"/>
          <w:lang w:eastAsia="zh-CN"/>
        </w:rPr>
      </w:pPr>
      <w:r>
        <w:rPr>
          <w:rFonts w:hint="eastAsia" w:ascii="方正小标宋简体" w:hAnsi="方正小标宋简体" w:eastAsia="方正小标宋简体" w:cs="方正小标宋简体"/>
          <w:b w:val="0"/>
          <w:bCs w:val="0"/>
          <w:color w:val="auto"/>
          <w:sz w:val="44"/>
          <w:szCs w:val="44"/>
          <w:u w:val="none"/>
          <w:lang w:eastAsia="zh-CN"/>
        </w:rPr>
        <w:t>内蒙古自治区服务业扩能提质实施方案</w:t>
      </w:r>
    </w:p>
    <w:p>
      <w:pPr>
        <w:keepNext w:val="0"/>
        <w:keepLines w:val="0"/>
        <w:pageBreakBefore w:val="0"/>
        <w:widowControl w:val="0"/>
        <w:numPr>
          <w:ilvl w:val="0"/>
          <w:numId w:val="0"/>
        </w:numPr>
        <w:suppressAutoHyphens/>
        <w:kinsoku/>
        <w:wordWrap/>
        <w:overflowPunct/>
        <w:topLinePunct/>
        <w:autoSpaceDE/>
        <w:autoSpaceDN/>
        <w:bidi w:val="0"/>
        <w:adjustRightInd/>
        <w:snapToGrid/>
        <w:spacing w:line="580" w:lineRule="exact"/>
        <w:ind w:left="0" w:leftChars="0" w:right="0" w:rightChars="0" w:firstLine="880" w:firstLineChars="200"/>
        <w:jc w:val="both"/>
        <w:textAlignment w:val="auto"/>
        <w:outlineLvl w:val="9"/>
        <w:rPr>
          <w:rFonts w:hint="default" w:ascii="Times New Roman" w:hAnsi="Times New Roman" w:eastAsia="方正仿宋_GBK" w:cs="Times New Roman"/>
          <w:color w:val="auto"/>
          <w:sz w:val="44"/>
          <w:szCs w:val="44"/>
          <w:highlight w:val="none"/>
          <w:u w:val="none"/>
          <w:lang w:val="en-US" w:eastAsia="zh-CN"/>
        </w:rPr>
      </w:pPr>
    </w:p>
    <w:p>
      <w:pPr>
        <w:keepNext w:val="0"/>
        <w:keepLines w:val="0"/>
        <w:pageBreakBefore w:val="0"/>
        <w:widowControl w:val="0"/>
        <w:suppressLineNumbers w:val="0"/>
        <w:kinsoku/>
        <w:wordWrap/>
        <w:overflowPunct/>
        <w:topLinePunct/>
        <w:autoSpaceDE/>
        <w:autoSpaceDN/>
        <w:bidi w:val="0"/>
        <w:adjustRightInd/>
        <w:snapToGrid/>
        <w:spacing w:line="580" w:lineRule="exact"/>
        <w:ind w:firstLine="640" w:firstLineChars="200"/>
        <w:jc w:val="left"/>
        <w:textAlignment w:val="auto"/>
        <w:rPr>
          <w:rFonts w:hint="eastAsia" w:ascii="仿宋" w:hAnsi="仿宋" w:eastAsia="仿宋" w:cs="仿宋"/>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为贯彻落实《国务院关于推进服务业扩能提质的意见》（国发〔2026〕7号）精神，推动全区服务业优质高效发展，结合自治区实际，制定本方案。</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一、总体要求</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 w:hAnsi="仿宋" w:eastAsia="仿宋" w:cs="仿宋"/>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坚持以习近平新时代中国特色社会主义思想为指导，全面贯彻党的二十大和二十届历次全会精神，深入贯彻习近平总书记关于服务业发展的重要指示精神和全国服务业大会精神，紧紧围绕铸牢中华民族共同体意识工作主线，认真落实自治区党委“1571”工作部署，坚持扩能和提质并举、发展和监管统筹，聚焦重点领域分类施策，统筹做优增量和盘活存量，破</w:t>
      </w:r>
      <w:r>
        <w:rPr>
          <w:rFonts w:hint="eastAsia" w:ascii="仿宋" w:hAnsi="仿宋" w:eastAsia="仿宋" w:cs="仿宋"/>
          <w:b w:val="0"/>
          <w:bCs w:val="0"/>
          <w:color w:val="auto"/>
          <w:spacing w:val="-6"/>
          <w:sz w:val="32"/>
          <w:szCs w:val="32"/>
          <w:u w:val="none"/>
          <w:lang w:val="en-US" w:eastAsia="zh-CN"/>
        </w:rPr>
        <w:t>除体制机制障碍，推进生产性服务业向专业化和价值链高端延伸，促进生活性服务业高品质、多样化、便利化发展。到2030</w:t>
      </w:r>
      <w:r>
        <w:rPr>
          <w:rFonts w:hint="eastAsia" w:ascii="仿宋" w:hAnsi="仿宋" w:eastAsia="仿宋" w:cs="仿宋"/>
          <w:b w:val="0"/>
          <w:bCs w:val="0"/>
          <w:color w:val="auto"/>
          <w:sz w:val="32"/>
          <w:szCs w:val="32"/>
          <w:u w:val="none"/>
          <w:lang w:val="en-US" w:eastAsia="zh-CN"/>
        </w:rPr>
        <w:t>年，全区服务业总规模达到1.6万亿元左右，数智化、标准化、融合化、国际化发展水平稳步提升，质量更高、结构更优、品质更佳、活力更足的发展格局基本形成，人民群众获得感持续提升。</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二、推进生产性服务业向专业化和价值链高端延伸</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 w:hAnsi="仿宋" w:eastAsia="仿宋" w:cs="仿宋"/>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（一）围绕研发设计专业化、高端化，加快壮大科技服务。</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strike w:val="0"/>
          <w:dstrike w:val="0"/>
          <w:color w:val="auto"/>
          <w:sz w:val="32"/>
          <w:szCs w:val="32"/>
          <w:u w:val="none"/>
          <w:lang w:val="en-US" w:eastAsia="zh-CN"/>
        </w:rPr>
        <w:t>1.壮大</w:t>
      </w:r>
      <w:r>
        <w:rPr>
          <w:rFonts w:hint="eastAsia" w:ascii="仿宋" w:hAnsi="仿宋" w:eastAsia="仿宋" w:cs="仿宋"/>
          <w:b w:val="0"/>
          <w:bCs w:val="0"/>
          <w:color w:val="auto"/>
          <w:sz w:val="32"/>
          <w:szCs w:val="32"/>
          <w:u w:val="none"/>
          <w:lang w:val="en-US" w:eastAsia="zh-CN"/>
        </w:rPr>
        <w:t>研发设计服务。聚焦新能源、稀土新材料、现代农牧业等领域，实施科技创新重大专项。做强做优国家和自治区级创新平台载体。围绕重点产业链，鼓励龙头企业牵头组建产业链创新联合体。推动大型科研仪器开放共享常态化、制度化。支持咨询机构向综合型设计咨询机构转型，提升工程勘察、设计、监理等服务水平。到2030年，全社会研发经费投入力争达到400亿元。</w:t>
      </w:r>
      <w:r>
        <w:rPr>
          <w:rFonts w:hint="eastAsia" w:ascii="楷体" w:hAnsi="楷体" w:eastAsia="楷体" w:cs="楷体"/>
          <w:b w:val="0"/>
          <w:bCs w:val="0"/>
          <w:color w:val="auto"/>
          <w:sz w:val="32"/>
          <w:szCs w:val="32"/>
          <w:u w:val="none"/>
          <w:lang w:val="en-US" w:eastAsia="zh-CN"/>
        </w:rPr>
        <w:t>（自治区教育厅、科技厅、工业和信息化厅、住房城乡建设厅等部门单位按职责分工负责）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2.提升知识产权服务水平。实施高价值专利培育行动，加强知识产权创造、保护和运用，组建优势特色产业专利池，支持乳业、草产业、稀土功能材料等国家级产业知识产权运营中心建设。开展知识产权行政保护、助企惠企专项行动。为重点实验室提供专利挖掘、风险预警、导航分析等全链条服务。到2030年，国内发明专利拥有量达到3万件。</w:t>
      </w:r>
      <w:r>
        <w:rPr>
          <w:rFonts w:hint="eastAsia" w:ascii="楷体" w:hAnsi="楷体" w:eastAsia="楷体" w:cs="楷体"/>
          <w:b w:val="0"/>
          <w:bCs w:val="0"/>
          <w:color w:val="auto"/>
          <w:sz w:val="32"/>
          <w:szCs w:val="32"/>
          <w:u w:val="none"/>
          <w:lang w:val="en-US" w:eastAsia="zh-CN"/>
        </w:rPr>
        <w:t>（自治区工业和信息化厅、市场监管局等部门单位按职责分工负责）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64" w:firstLineChars="200"/>
        <w:jc w:val="both"/>
        <w:textAlignment w:val="auto"/>
        <w:rPr>
          <w:rFonts w:hint="eastAsia" w:ascii="楷体" w:hAnsi="楷体" w:eastAsia="楷体" w:cs="楷体"/>
          <w:b w:val="0"/>
          <w:bCs w:val="0"/>
          <w:color w:val="auto"/>
          <w:spacing w:val="6"/>
          <w:sz w:val="32"/>
          <w:szCs w:val="32"/>
          <w:u w:val="none"/>
          <w:lang w:val="en-US" w:eastAsia="zh-CN"/>
        </w:rPr>
      </w:pPr>
      <w:r>
        <w:rPr>
          <w:rFonts w:hint="eastAsia" w:ascii="仿宋" w:hAnsi="仿宋" w:eastAsia="仿宋" w:cs="仿宋"/>
          <w:b w:val="0"/>
          <w:bCs w:val="0"/>
          <w:color w:val="auto"/>
          <w:spacing w:val="6"/>
          <w:sz w:val="32"/>
          <w:szCs w:val="32"/>
          <w:u w:val="none"/>
          <w:lang w:val="en-US" w:eastAsia="zh-CN"/>
        </w:rPr>
        <w:t>3.加快科技成果转化利用。布局建设自治区概念验证平台、科技成果转化中试基地、中试公共服务平台，完善成果转化链条。培育专业化、市场化运作的自治区技术转移机构，健全技术转移服务体系。到2030年，全区登记技术合同交易额力争达到300亿元。</w:t>
      </w:r>
      <w:r>
        <w:rPr>
          <w:rFonts w:hint="eastAsia" w:ascii="楷体" w:hAnsi="楷体" w:eastAsia="楷体" w:cs="楷体"/>
          <w:b w:val="0"/>
          <w:bCs w:val="0"/>
          <w:color w:val="auto"/>
          <w:spacing w:val="6"/>
          <w:sz w:val="32"/>
          <w:szCs w:val="32"/>
          <w:u w:val="none"/>
          <w:lang w:val="en-US" w:eastAsia="zh-CN"/>
        </w:rPr>
        <w:t>（自治区科技厅、工业和信息化厅等部门单位按职责分工负责）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4.提高检验检测认证服务能力。实施检验检测能力提升行动，培育国家和自治区质检中心总量达20家以上，加快产业计量测试中心、国家碳计量中心（内蒙古）碳计量基础能力建设项目（一期）落地。探索商品编码市场化运作。扩大“蒙”字标认证，深化与“湾区认证”等交流互认。</w:t>
      </w:r>
      <w:r>
        <w:rPr>
          <w:rFonts w:hint="eastAsia" w:ascii="楷体" w:hAnsi="楷体" w:eastAsia="楷体" w:cs="楷体"/>
          <w:b w:val="0"/>
          <w:bCs w:val="0"/>
          <w:color w:val="auto"/>
          <w:sz w:val="32"/>
          <w:szCs w:val="32"/>
          <w:u w:val="none"/>
          <w:lang w:val="en-US" w:eastAsia="zh-CN"/>
        </w:rPr>
        <w:t>（自治区农牧厅、市场监管局等部门单位按职责分工负责）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（二）围绕价值环节提升，培育壮大信息服务。</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1.提升软件服务能力。发展“模型即服务”、“智能体即服务”新业态，在呼包鄂重点园区布局检验检测与概念验证中心，提供工艺验证与商业化评估服务。实施“人工智能+”行动，拓展能源电力、低空经济、自动驾驶等应用场景，“十五五”时期打造100个典型人工智能应用场景。重点支持自治区首版软件、工业软件研发推广，鼓励软件企业壮大，到2030年，软件和信息技术服务业营收实现翻两番，突破100亿元。</w:t>
      </w:r>
      <w:r>
        <w:rPr>
          <w:rFonts w:hint="eastAsia" w:ascii="楷体" w:hAnsi="楷体" w:eastAsia="楷体" w:cs="楷体"/>
          <w:b w:val="0"/>
          <w:bCs w:val="0"/>
          <w:color w:val="auto"/>
          <w:sz w:val="32"/>
          <w:szCs w:val="32"/>
          <w:u w:val="none"/>
          <w:lang w:val="en-US" w:eastAsia="zh-CN"/>
        </w:rPr>
        <w:t>（自治区发展改革委、工业和信息化厅、能源局、政务服务与数据管理局等部门单位按职责分工负责）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2.加快信息传输规模部署。增强呼和浩特国家级互联网骨干直联点功能，推动国家新型互联网交换中心和通辽国家级骨干直联点申报建设。提升第五代移动通信技术（5G）、千兆光网覆盖面，有序推进第五代移动通信演进（5G—A）、万兆光网建设，探</w:t>
      </w:r>
      <w:r>
        <w:rPr>
          <w:rFonts w:hint="eastAsia" w:ascii="仿宋" w:hAnsi="仿宋" w:eastAsia="仿宋" w:cs="仿宋"/>
          <w:b w:val="0"/>
          <w:bCs w:val="0"/>
          <w:color w:val="auto"/>
          <w:spacing w:val="-6"/>
          <w:sz w:val="32"/>
          <w:szCs w:val="32"/>
          <w:u w:val="none"/>
          <w:lang w:val="en-US" w:eastAsia="zh-CN"/>
        </w:rPr>
        <w:t>索建设第六代移动通信技术（6G），到2030年，全区5G（含5G—A）</w:t>
      </w:r>
      <w:r>
        <w:rPr>
          <w:rFonts w:hint="eastAsia" w:ascii="仿宋" w:hAnsi="仿宋" w:eastAsia="仿宋" w:cs="仿宋"/>
          <w:b w:val="0"/>
          <w:bCs w:val="0"/>
          <w:color w:val="auto"/>
          <w:sz w:val="32"/>
          <w:szCs w:val="32"/>
          <w:u w:val="none"/>
          <w:lang w:val="en-US" w:eastAsia="zh-CN"/>
        </w:rPr>
        <w:t>基站数达到14万座，5G网络接入流量占比达到80%。适度超前布局卫星互联网、移动物联网等新型基础设施。</w:t>
      </w:r>
      <w:r>
        <w:rPr>
          <w:rFonts w:hint="eastAsia" w:ascii="楷体" w:hAnsi="楷体" w:eastAsia="楷体" w:cs="楷体"/>
          <w:b w:val="0"/>
          <w:bCs w:val="0"/>
          <w:color w:val="auto"/>
          <w:sz w:val="32"/>
          <w:szCs w:val="32"/>
          <w:u w:val="none"/>
          <w:lang w:val="en-US" w:eastAsia="zh-CN"/>
        </w:rPr>
        <w:t>（内蒙古通信管理局等部门单位按职责分工负责）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16"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pacing w:val="-6"/>
          <w:sz w:val="32"/>
          <w:szCs w:val="32"/>
          <w:u w:val="none"/>
          <w:lang w:val="en-US" w:eastAsia="zh-CN"/>
        </w:rPr>
        <w:t>3.提升数据和信息技术服务能级。加快培育发展算力服务、数据服务与场景应用，建立自治区Token交易平台。实施高质量数据集“强基扩容”行动，建设能源、制造等优势产业数据集。开展数据标注攻坚，加快推动数据标注产业向专业化、智能化、</w:t>
      </w:r>
      <w:r>
        <w:rPr>
          <w:rFonts w:hint="eastAsia" w:ascii="仿宋" w:hAnsi="仿宋" w:eastAsia="仿宋" w:cs="仿宋"/>
          <w:b w:val="0"/>
          <w:bCs w:val="0"/>
          <w:color w:val="auto"/>
          <w:sz w:val="32"/>
          <w:szCs w:val="32"/>
          <w:u w:val="none"/>
          <w:lang w:val="en-US" w:eastAsia="zh-CN"/>
        </w:rPr>
        <w:t>高端化跃</w:t>
      </w:r>
      <w:r>
        <w:rPr>
          <w:rFonts w:hint="eastAsia" w:ascii="仿宋" w:hAnsi="仿宋" w:eastAsia="仿宋" w:cs="仿宋"/>
          <w:b w:val="0"/>
          <w:bCs w:val="0"/>
          <w:color w:val="auto"/>
          <w:spacing w:val="-6"/>
          <w:sz w:val="32"/>
          <w:szCs w:val="32"/>
          <w:u w:val="none"/>
          <w:lang w:val="en-US" w:eastAsia="zh-CN"/>
        </w:rPr>
        <w:t>升。支持产业链智能化改造与数字化转型，培育服务商资源池，</w:t>
      </w:r>
      <w:r>
        <w:rPr>
          <w:rFonts w:hint="eastAsia" w:ascii="仿宋" w:hAnsi="仿宋" w:eastAsia="仿宋" w:cs="仿宋"/>
          <w:b w:val="0"/>
          <w:bCs w:val="0"/>
          <w:color w:val="auto"/>
          <w:sz w:val="32"/>
          <w:szCs w:val="32"/>
          <w:u w:val="none"/>
          <w:lang w:val="en-US" w:eastAsia="zh-CN"/>
        </w:rPr>
        <w:t>积</w:t>
      </w:r>
      <w:r>
        <w:rPr>
          <w:rFonts w:hint="eastAsia" w:ascii="仿宋" w:hAnsi="仿宋" w:eastAsia="仿宋" w:cs="仿宋"/>
          <w:b w:val="0"/>
          <w:bCs w:val="0"/>
          <w:color w:val="auto"/>
          <w:spacing w:val="-6"/>
          <w:sz w:val="32"/>
          <w:szCs w:val="32"/>
          <w:u w:val="none"/>
          <w:lang w:val="en-US" w:eastAsia="zh-CN"/>
        </w:rPr>
        <w:t>极培育和引进落地数据分析、标注、脱敏、清洗、确权、交易、</w:t>
      </w:r>
      <w:r>
        <w:rPr>
          <w:rFonts w:hint="eastAsia" w:ascii="仿宋" w:hAnsi="仿宋" w:eastAsia="仿宋" w:cs="仿宋"/>
          <w:b w:val="0"/>
          <w:bCs w:val="0"/>
          <w:color w:val="auto"/>
          <w:sz w:val="32"/>
          <w:szCs w:val="32"/>
          <w:u w:val="none"/>
          <w:lang w:val="en-US" w:eastAsia="zh-CN"/>
        </w:rPr>
        <w:t>安全及算法编程等企业，做大做强数据要素产业园。</w:t>
      </w:r>
      <w:r>
        <w:rPr>
          <w:rFonts w:hint="eastAsia" w:ascii="楷体" w:hAnsi="楷体" w:eastAsia="楷体" w:cs="楷体"/>
          <w:b w:val="0"/>
          <w:bCs w:val="0"/>
          <w:color w:val="auto"/>
          <w:sz w:val="32"/>
          <w:szCs w:val="32"/>
          <w:u w:val="none"/>
          <w:lang w:val="en-US" w:eastAsia="zh-CN"/>
        </w:rPr>
        <w:t>（自治区发展改革委、工业和信息化厅、能源局、政务服务与数据管理局等部门单位按职责分工负责）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（三）围绕提升绿色发展水平，增强节能环保服务供给。</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1.积极发展节能环保服务。</w:t>
      </w:r>
      <w:r>
        <w:rPr>
          <w:rFonts w:hint="eastAsia" w:ascii="仿宋" w:hAnsi="仿宋" w:eastAsia="仿宋" w:cs="仿宋"/>
          <w:b w:val="0"/>
          <w:bCs w:val="0"/>
          <w:strike w:val="0"/>
          <w:color w:val="auto"/>
          <w:sz w:val="32"/>
          <w:szCs w:val="32"/>
          <w:u w:val="none"/>
          <w:lang w:val="en-US" w:eastAsia="zh-CN"/>
        </w:rPr>
        <w:t>推进重点行业能效诊断，</w:t>
      </w:r>
      <w:r>
        <w:rPr>
          <w:rFonts w:hint="eastAsia" w:ascii="仿宋" w:hAnsi="仿宋" w:eastAsia="仿宋" w:cs="仿宋"/>
          <w:b w:val="0"/>
          <w:bCs w:val="0"/>
          <w:color w:val="auto"/>
          <w:sz w:val="32"/>
          <w:szCs w:val="32"/>
          <w:u w:val="none"/>
          <w:lang w:val="en-US" w:eastAsia="zh-CN"/>
        </w:rPr>
        <w:t>建立碳足迹管理体系。稳妥推进金融机构参与碳市场交易，探索开展碳汇损失保险、碳交易信用保险，支持企业发行碳中和类创新债券。发展农业绿色高产高效技术服务、农业废弃物处理利用服务。拓展节水评估、环境监测、污染保险等服务。支持金融机构探索开展环境权益抵质押融资业务，创新绿色金融类信贷产品。</w:t>
      </w:r>
      <w:r>
        <w:rPr>
          <w:rFonts w:hint="eastAsia" w:ascii="楷体" w:hAnsi="楷体" w:eastAsia="楷体" w:cs="楷体"/>
          <w:b w:val="0"/>
          <w:bCs w:val="0"/>
          <w:color w:val="auto"/>
          <w:sz w:val="32"/>
          <w:szCs w:val="32"/>
          <w:u w:val="none"/>
          <w:lang w:val="en-US" w:eastAsia="zh-CN"/>
        </w:rPr>
        <w:t>（自治区党委金融办、发展改革委、工业和信息化厅、生态环境厅、水利厅、农牧厅、市场监管局、林草局，中国人民银行内蒙古自治区分行、内蒙古金融监管局、内蒙古证监局等部门单位按职责分工负责）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2.培育壮大回收利用服务。倡导绿色节约，鼓励使用更优能效产品，依法淘汰超标、不合规产品。完善再生资源回收网点与分拣中心布局，健全“换新+回收”物流体系，加大新建工业资源综合利用企业培育力度，支持现有项目提质增效。</w:t>
      </w:r>
      <w:r>
        <w:rPr>
          <w:rFonts w:hint="eastAsia" w:ascii="楷体" w:hAnsi="楷体" w:eastAsia="楷体" w:cs="楷体"/>
          <w:b w:val="0"/>
          <w:bCs w:val="0"/>
          <w:color w:val="auto"/>
          <w:sz w:val="32"/>
          <w:szCs w:val="32"/>
          <w:u w:val="none"/>
          <w:lang w:val="en-US" w:eastAsia="zh-CN"/>
        </w:rPr>
        <w:t>（自治区工业和信息化厅、商务厅等部门单位按职责分工负责）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（四）围绕市场价值实现，提升配套专业服务水平。</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64" w:firstLineChars="200"/>
        <w:jc w:val="both"/>
        <w:textAlignment w:val="auto"/>
        <w:rPr>
          <w:rFonts w:hint="eastAsia" w:ascii="楷体" w:hAnsi="楷体" w:eastAsia="楷体" w:cs="楷体"/>
          <w:b w:val="0"/>
          <w:bCs w:val="0"/>
          <w:color w:val="auto"/>
          <w:spacing w:val="6"/>
          <w:sz w:val="32"/>
          <w:szCs w:val="32"/>
          <w:u w:val="none"/>
          <w:lang w:val="en-US" w:eastAsia="zh-CN"/>
        </w:rPr>
      </w:pPr>
      <w:r>
        <w:rPr>
          <w:rFonts w:hint="eastAsia" w:ascii="仿宋" w:hAnsi="仿宋" w:eastAsia="仿宋" w:cs="仿宋"/>
          <w:b w:val="0"/>
          <w:bCs w:val="0"/>
          <w:color w:val="auto"/>
          <w:spacing w:val="6"/>
          <w:sz w:val="32"/>
          <w:szCs w:val="32"/>
          <w:u w:val="none"/>
          <w:lang w:val="en-US" w:eastAsia="zh-CN"/>
        </w:rPr>
        <w:t>1.推动货物运输提质增效。推动7个国家物流枢纽、4个国家骨干冷链物流基地能级提升，支持赤峰市申报商贸服务型国家物流枢纽。深化现代交通物流领军企业培育行动，引导企业向综合物流集成商转型，鼓励制造业企业与物流企业组建供应链联盟。建立航空物流对接机制，开展多式联运攻坚，推进铁路货运市场化改革，发展公铁海联运，培育“一单制”重点企业与线路。探索“内陆港”、“飞地港”合作，打造盛乐空港智慧冷链物流产业园、满都拉口岸铁路综合物流园等重点货运枢纽。建设现代邮政快递骨干网络，到2030年，快递末端站点达到1.2万个以上。</w:t>
      </w:r>
      <w:r>
        <w:rPr>
          <w:rFonts w:hint="eastAsia" w:ascii="楷体" w:hAnsi="楷体" w:eastAsia="楷体" w:cs="楷体"/>
          <w:b w:val="0"/>
          <w:bCs w:val="0"/>
          <w:color w:val="auto"/>
          <w:spacing w:val="6"/>
          <w:sz w:val="32"/>
          <w:szCs w:val="32"/>
          <w:u w:val="none"/>
          <w:lang w:val="en-US" w:eastAsia="zh-CN"/>
        </w:rPr>
        <w:t>（自治区发展改革委、交通运输厅、商务厅，内蒙古邮政管理局、中国铁路呼和浩特局集团有限公司等部门单位按职责分工负责）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2.引导仓储服务优化提升。统筹对接公路、铁路、航空交通规划，优化蒙东、蒙西交通枢纽一体化仓储布局，推动老旧仓储设施改造，盘活闲置铁路货运场站。专业化布局大宗商品与生物制品等领域仓储。适配城市消费与贸易新模式，发展冷链及跨境电商仓储，完善多层级网络。推动企业在俄罗斯、蒙古国等重点市场布局建设一批海外仓，对符合条件、可提供公共服务的，通过外经贸项目按规定予以培育认证。</w:t>
      </w:r>
      <w:r>
        <w:rPr>
          <w:rFonts w:hint="eastAsia" w:ascii="楷体" w:hAnsi="楷体" w:eastAsia="楷体" w:cs="楷体"/>
          <w:b w:val="0"/>
          <w:bCs w:val="0"/>
          <w:color w:val="auto"/>
          <w:sz w:val="32"/>
          <w:szCs w:val="32"/>
          <w:u w:val="none"/>
          <w:lang w:val="en-US" w:eastAsia="zh-CN"/>
        </w:rPr>
        <w:t>（自治区交通运输厅、商务厅、粮食和储备局，中国铁路呼和浩特局集团有限公司等部门单位按职责分工负责）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3.推动批发业平台化发展。围绕自治区优势农畜产品、矿产</w:t>
      </w:r>
      <w:r>
        <w:rPr>
          <w:rFonts w:hint="eastAsia" w:ascii="仿宋" w:hAnsi="仿宋" w:eastAsia="仿宋" w:cs="仿宋"/>
          <w:b w:val="0"/>
          <w:bCs w:val="0"/>
          <w:color w:val="auto"/>
          <w:spacing w:val="-6"/>
          <w:sz w:val="32"/>
          <w:szCs w:val="32"/>
          <w:u w:val="none"/>
          <w:lang w:val="en-US" w:eastAsia="zh-CN"/>
        </w:rPr>
        <w:t>资源和大宗商品，鼓励经营品类多元化发展，优化批发业结构。</w:t>
      </w:r>
      <w:r>
        <w:rPr>
          <w:rFonts w:hint="eastAsia" w:ascii="仿宋" w:hAnsi="仿宋" w:eastAsia="仿宋" w:cs="仿宋"/>
          <w:b w:val="0"/>
          <w:bCs w:val="0"/>
          <w:color w:val="auto"/>
          <w:sz w:val="32"/>
          <w:szCs w:val="32"/>
          <w:u w:val="none"/>
          <w:lang w:val="en-US" w:eastAsia="zh-CN"/>
        </w:rPr>
        <w:t>推动大型商品市场信息化改造、线上线下融合转型升级，支持“枢纽市场搭平台+中小企业走出去”抱团发展，鼓励工贸分离，提升批发贸易专业化水平。</w:t>
      </w:r>
      <w:r>
        <w:rPr>
          <w:rFonts w:hint="eastAsia" w:ascii="楷体" w:hAnsi="楷体" w:eastAsia="楷体" w:cs="楷体"/>
          <w:b w:val="0"/>
          <w:bCs w:val="0"/>
          <w:color w:val="auto"/>
          <w:sz w:val="32"/>
          <w:szCs w:val="32"/>
          <w:u w:val="none"/>
          <w:lang w:val="en-US" w:eastAsia="zh-CN"/>
        </w:rPr>
        <w:t>（自治区工业和信息化厅、农牧厅、商务厅、能源局等部门单位按职责分工负责）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4.提升金融服务能力。引进培育风险投资，完善投早、投小、投硬科技、投长期支持体系，推进企业上市“天骏计划”，优化直接融资结构，“</w:t>
      </w:r>
      <w:r>
        <w:rPr>
          <w:rFonts w:hint="eastAsia" w:ascii="仿宋" w:hAnsi="仿宋" w:eastAsia="仿宋" w:cs="仿宋"/>
          <w:b w:val="0"/>
          <w:bCs w:val="0"/>
          <w:color w:val="auto"/>
          <w:spacing w:val="6"/>
          <w:sz w:val="32"/>
          <w:szCs w:val="32"/>
          <w:u w:val="none"/>
          <w:lang w:val="en-US" w:eastAsia="zh-CN"/>
        </w:rPr>
        <w:t>十五五”时期区内上市公司新增5家以上。推广“创新积分制”，丰富科技金融类信贷产品和服务，通过主动授信、随借随还、供应链金融等业务模式，支持科技型中小企业、专精特新中小企业等科技型企</w:t>
      </w:r>
      <w:r>
        <w:rPr>
          <w:rFonts w:hint="eastAsia" w:ascii="仿宋" w:hAnsi="仿宋" w:eastAsia="仿宋" w:cs="仿宋"/>
          <w:b w:val="0"/>
          <w:bCs w:val="0"/>
          <w:color w:val="auto"/>
          <w:spacing w:val="-6"/>
          <w:sz w:val="32"/>
          <w:szCs w:val="32"/>
          <w:u w:val="none"/>
          <w:lang w:val="en-US" w:eastAsia="zh-CN"/>
        </w:rPr>
        <w:t>业融资，加大科技贷款投放力度。</w:t>
      </w:r>
      <w:r>
        <w:rPr>
          <w:rFonts w:hint="eastAsia" w:ascii="仿宋" w:hAnsi="仿宋" w:eastAsia="仿宋" w:cs="仿宋"/>
          <w:b w:val="0"/>
          <w:bCs w:val="0"/>
          <w:color w:val="auto"/>
          <w:sz w:val="32"/>
          <w:szCs w:val="32"/>
          <w:u w:val="none"/>
          <w:lang w:val="en-US" w:eastAsia="zh-CN"/>
        </w:rPr>
        <w:t>发展养老保险产品，推行长期护理保险。引导保险机构开</w:t>
      </w:r>
      <w:r>
        <w:rPr>
          <w:rFonts w:hint="eastAsia" w:ascii="仿宋" w:hAnsi="仿宋" w:eastAsia="仿宋" w:cs="仿宋"/>
          <w:b w:val="0"/>
          <w:bCs w:val="0"/>
          <w:color w:val="auto"/>
          <w:spacing w:val="-6"/>
          <w:sz w:val="32"/>
          <w:szCs w:val="32"/>
          <w:u w:val="none"/>
          <w:lang w:val="en-US" w:eastAsia="zh-CN"/>
        </w:rPr>
        <w:t>发科技保险、中试服务险等产品，发展出口信用保险、内贸险，</w:t>
      </w:r>
      <w:r>
        <w:rPr>
          <w:rFonts w:hint="eastAsia" w:ascii="仿宋" w:hAnsi="仿宋" w:eastAsia="仿宋" w:cs="仿宋"/>
          <w:b w:val="0"/>
          <w:bCs w:val="0"/>
          <w:color w:val="auto"/>
          <w:sz w:val="32"/>
          <w:szCs w:val="32"/>
          <w:u w:val="none"/>
          <w:lang w:val="en-US" w:eastAsia="zh-CN"/>
        </w:rPr>
        <w:t>推进巨灾保险试点，“十五五”时期保险费收入年均增长不低于5%。积极推动数字人民币在自治区开展试点。落实差异化监管与授信尽职免责制度，保障信贷增速高于全区经济增速。</w:t>
      </w:r>
      <w:r>
        <w:rPr>
          <w:rFonts w:hint="eastAsia" w:ascii="楷体" w:hAnsi="楷体" w:eastAsia="楷体" w:cs="楷体"/>
          <w:b w:val="0"/>
          <w:bCs w:val="0"/>
          <w:color w:val="auto"/>
          <w:sz w:val="32"/>
          <w:szCs w:val="32"/>
          <w:u w:val="none"/>
          <w:lang w:val="en-US" w:eastAsia="zh-CN"/>
        </w:rPr>
        <w:t>（自治区党委金融办、科技厅、工业和信息化厅，中国人民银行内蒙古自治区分行、内蒙古金融监管局、内蒙古证监局等部门单位按职责分工负责）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5.有序推进融资租赁创新。健全融资担保体系，扩大自治区再担保与国家融资担保基金合作规模。研究制定自治区层面融资租赁公司实施细则，提升行业合规水平。鼓励融资租赁公司积极服务大规模设备更新和消费品以旧换新，不断强化融资功能。</w:t>
      </w:r>
      <w:r>
        <w:rPr>
          <w:rFonts w:hint="eastAsia" w:ascii="楷体" w:hAnsi="楷体" w:eastAsia="楷体" w:cs="楷体"/>
          <w:b w:val="0"/>
          <w:bCs w:val="0"/>
          <w:color w:val="auto"/>
          <w:sz w:val="32"/>
          <w:szCs w:val="32"/>
          <w:u w:val="none"/>
          <w:lang w:val="en-US" w:eastAsia="zh-CN"/>
        </w:rPr>
        <w:t>（自治区党委金融办、财政厅等部门单位按职责分工负责）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6.提升法律和咨询服务水平。结合中国（内蒙古）自由贸易</w:t>
      </w:r>
      <w:r>
        <w:rPr>
          <w:rFonts w:hint="eastAsia" w:ascii="仿宋" w:hAnsi="仿宋" w:eastAsia="仿宋" w:cs="仿宋"/>
          <w:b w:val="0"/>
          <w:bCs w:val="0"/>
          <w:color w:val="auto"/>
          <w:spacing w:val="-6"/>
          <w:sz w:val="32"/>
          <w:szCs w:val="32"/>
          <w:u w:val="none"/>
          <w:lang w:val="en-US" w:eastAsia="zh-CN"/>
        </w:rPr>
        <w:t>试验区建设，加强涉外律师人才培育，开展仲裁服务“走出去”</w:t>
      </w:r>
      <w:r>
        <w:rPr>
          <w:rFonts w:hint="eastAsia" w:ascii="仿宋" w:hAnsi="仿宋" w:eastAsia="仿宋" w:cs="仿宋"/>
          <w:b w:val="0"/>
          <w:bCs w:val="0"/>
          <w:color w:val="auto"/>
          <w:sz w:val="32"/>
          <w:szCs w:val="32"/>
          <w:u w:val="none"/>
          <w:lang w:val="en-US" w:eastAsia="zh-CN"/>
        </w:rPr>
        <w:t>专项行动。强化法律服务保障，为企业提供专业优质法律服务。强化专业咨询服务机构和行业智库建设，在会计审计、税务、广告等领域，打造一批优质咨询机构和品牌。</w:t>
      </w:r>
      <w:r>
        <w:rPr>
          <w:rFonts w:hint="eastAsia" w:ascii="楷体" w:hAnsi="楷体" w:eastAsia="楷体" w:cs="楷体"/>
          <w:b w:val="0"/>
          <w:bCs w:val="0"/>
          <w:color w:val="auto"/>
          <w:sz w:val="32"/>
          <w:szCs w:val="32"/>
          <w:u w:val="none"/>
          <w:lang w:val="en-US" w:eastAsia="zh-CN"/>
        </w:rPr>
        <w:t>（自治区司法厅、财政厅、市场监管局、高级人民法院，内蒙古税务局等部门单位按职责分工负责）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64" w:firstLineChars="200"/>
        <w:jc w:val="both"/>
        <w:textAlignment w:val="auto"/>
        <w:rPr>
          <w:rFonts w:hint="eastAsia" w:ascii="仿宋" w:hAnsi="仿宋" w:eastAsia="仿宋" w:cs="仿宋"/>
          <w:b w:val="0"/>
          <w:bCs w:val="0"/>
          <w:color w:val="auto"/>
          <w:spacing w:val="6"/>
          <w:sz w:val="32"/>
          <w:szCs w:val="32"/>
          <w:u w:val="none"/>
          <w:lang w:val="en-US" w:eastAsia="zh-CN"/>
        </w:rPr>
      </w:pPr>
      <w:r>
        <w:rPr>
          <w:rFonts w:hint="eastAsia" w:ascii="仿宋" w:hAnsi="仿宋" w:eastAsia="仿宋" w:cs="仿宋"/>
          <w:b w:val="0"/>
          <w:bCs w:val="0"/>
          <w:color w:val="auto"/>
          <w:spacing w:val="6"/>
          <w:sz w:val="32"/>
          <w:szCs w:val="32"/>
          <w:u w:val="none"/>
          <w:lang w:val="en-US" w:eastAsia="zh-CN"/>
        </w:rPr>
        <w:t>7.推动人力资源服务创新发展。建立人力资源需求预测机制，发布紧缺人才目录。健全“1+N”职业技能竞赛体系，建</w:t>
      </w:r>
      <w:r>
        <w:rPr>
          <w:rFonts w:hint="eastAsia" w:ascii="仿宋" w:hAnsi="仿宋" w:eastAsia="仿宋" w:cs="仿宋"/>
          <w:b w:val="0"/>
          <w:bCs w:val="0"/>
          <w:color w:val="auto"/>
          <w:spacing w:val="0"/>
          <w:sz w:val="32"/>
          <w:szCs w:val="32"/>
          <w:u w:val="none"/>
          <w:lang w:val="en-US" w:eastAsia="zh-CN"/>
        </w:rPr>
        <w:t>设集训基地，优化技能人才培养模式。加快就业服务数字化，</w:t>
      </w:r>
      <w:r>
        <w:rPr>
          <w:rFonts w:hint="eastAsia" w:ascii="仿宋" w:hAnsi="仿宋" w:eastAsia="仿宋" w:cs="仿宋"/>
          <w:b w:val="0"/>
          <w:bCs w:val="0"/>
          <w:color w:val="auto"/>
          <w:spacing w:val="6"/>
          <w:sz w:val="32"/>
          <w:szCs w:val="32"/>
          <w:u w:val="none"/>
          <w:lang w:val="en-US" w:eastAsia="zh-CN"/>
        </w:rPr>
        <w:t>完善内蒙古就业公共服务平台功能，升级就业内蒙古网站。“十五五”时期，全区累计实现城镇新增就业90万人。</w:t>
      </w:r>
      <w:r>
        <w:rPr>
          <w:rFonts w:hint="eastAsia" w:ascii="楷体" w:hAnsi="楷体" w:eastAsia="楷体" w:cs="楷体"/>
          <w:b w:val="0"/>
          <w:bCs w:val="0"/>
          <w:color w:val="auto"/>
          <w:spacing w:val="6"/>
          <w:sz w:val="32"/>
          <w:szCs w:val="32"/>
          <w:u w:val="none"/>
          <w:lang w:val="en-US" w:eastAsia="zh-CN"/>
        </w:rPr>
        <w:t>（自治区人力资源社会保障厅、政务服务与数据管理局等部门单位按职责分工负责）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三、促进生活性服务业高品质、多样化、便利化发展</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（一）围绕居民需要，促进基本需求类服务更加普惠优质。</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1.提升养老服务水平。推进养老机构分类改革，健全旗县（市、区）、苏木乡镇（街道）、嘎查村（社区）三级养老服务网络，完善农村牧区互助养老模式。扩大社区养老服务覆盖面，增加康复护理、医养结合服务供给。推动养老机构专业化、连锁化、品牌化发展，到2030年，旗县级综合养老服务管理平台覆盖率达到90%。深化区域合作交流，建立健全旅居养老服务平台，开展“冬南夏北”等省际旅居养老合作。加强养老服务人才队伍建设，推进养老护理职业技能等级认定，完善养老护理员激励补贴政策，提高薪酬保障水平。</w:t>
      </w:r>
      <w:r>
        <w:rPr>
          <w:rFonts w:hint="eastAsia" w:ascii="楷体" w:hAnsi="楷体" w:eastAsia="楷体" w:cs="楷体"/>
          <w:b w:val="0"/>
          <w:bCs w:val="0"/>
          <w:color w:val="auto"/>
          <w:sz w:val="32"/>
          <w:szCs w:val="32"/>
          <w:u w:val="none"/>
          <w:lang w:val="en-US" w:eastAsia="zh-CN"/>
        </w:rPr>
        <w:t>（自治区民政厅、财政厅、人力资源社会保障厅等部门单位按职责分工负责）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64"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pacing w:val="6"/>
          <w:sz w:val="32"/>
          <w:szCs w:val="32"/>
          <w:u w:val="none"/>
          <w:lang w:val="en-US" w:eastAsia="zh-CN"/>
        </w:rPr>
        <w:t>2.发展普惠托育和托幼一体化服务。适应人口变化新形势，</w:t>
      </w:r>
      <w:r>
        <w:rPr>
          <w:rFonts w:hint="eastAsia" w:ascii="仿宋" w:hAnsi="仿宋" w:eastAsia="仿宋" w:cs="仿宋"/>
          <w:b w:val="0"/>
          <w:bCs w:val="0"/>
          <w:color w:val="auto"/>
          <w:sz w:val="32"/>
          <w:szCs w:val="32"/>
          <w:u w:val="none"/>
          <w:lang w:val="en-US" w:eastAsia="zh-CN"/>
        </w:rPr>
        <w:t>加快推进普惠托育与托幼一体化发展，培育和申报普惠托育服务发展试点示范项目。加快托育综合服务中心建设，构建以托育机构、社区嵌入式托育、幼儿园托班、用人单位办托、家庭托育点为主体的“1＋N”服务体系。支持儿童福利机构为残疾儿童提供养护、康复、特教等服务。</w:t>
      </w:r>
      <w:r>
        <w:rPr>
          <w:rFonts w:hint="eastAsia" w:ascii="楷体" w:hAnsi="楷体" w:eastAsia="楷体" w:cs="楷体"/>
          <w:b w:val="0"/>
          <w:bCs w:val="0"/>
          <w:color w:val="auto"/>
          <w:sz w:val="32"/>
          <w:szCs w:val="32"/>
          <w:u w:val="none"/>
          <w:lang w:val="en-US" w:eastAsia="zh-CN"/>
        </w:rPr>
        <w:t>（自治区教育厅、民政厅、卫生健康委、总工会等部门单位按职责分工负责）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3.提升医疗卫生服务水平。推进区域医疗中心建设，推动优质医疗资源扩容下沉和均衡布局，促进紧密型县域医共体与公立医院高质量发展。实施医疗卫生强基工程，推进疾控机构标准化建设，提升基层医疗卫生机构服务能力，支持医疗机构提供家庭</w:t>
      </w:r>
      <w:r>
        <w:rPr>
          <w:rFonts w:hint="eastAsia" w:ascii="仿宋" w:hAnsi="仿宋" w:eastAsia="仿宋" w:cs="仿宋"/>
          <w:b w:val="0"/>
          <w:bCs w:val="0"/>
          <w:color w:val="auto"/>
          <w:spacing w:val="-6"/>
          <w:sz w:val="32"/>
          <w:szCs w:val="32"/>
          <w:u w:val="none"/>
          <w:lang w:val="en-US" w:eastAsia="zh-CN"/>
        </w:rPr>
        <w:t>医生签约、巡回诊疗等服务。加快国家区域公共卫生中心建设，</w:t>
      </w:r>
      <w:r>
        <w:rPr>
          <w:rFonts w:hint="eastAsia" w:ascii="仿宋" w:hAnsi="仿宋" w:eastAsia="仿宋" w:cs="仿宋"/>
          <w:b w:val="0"/>
          <w:bCs w:val="0"/>
          <w:color w:val="auto"/>
          <w:sz w:val="32"/>
          <w:szCs w:val="32"/>
          <w:u w:val="none"/>
          <w:lang w:val="en-US" w:eastAsia="zh-CN"/>
        </w:rPr>
        <w:t>完</w:t>
      </w:r>
      <w:r>
        <w:rPr>
          <w:rFonts w:hint="eastAsia" w:ascii="仿宋" w:hAnsi="仿宋" w:eastAsia="仿宋" w:cs="仿宋"/>
          <w:b w:val="0"/>
          <w:bCs w:val="0"/>
          <w:color w:val="auto"/>
          <w:spacing w:val="-6"/>
          <w:sz w:val="32"/>
          <w:szCs w:val="32"/>
          <w:u w:val="none"/>
          <w:lang w:val="en-US" w:eastAsia="zh-CN"/>
        </w:rPr>
        <w:t>善公共卫生网络。到2030年，每千人口拥有执业医师数4人、</w:t>
      </w:r>
      <w:r>
        <w:rPr>
          <w:rFonts w:hint="eastAsia" w:ascii="仿宋" w:hAnsi="仿宋" w:eastAsia="仿宋" w:cs="仿宋"/>
          <w:b w:val="0"/>
          <w:bCs w:val="0"/>
          <w:color w:val="auto"/>
          <w:sz w:val="32"/>
          <w:szCs w:val="32"/>
          <w:u w:val="none"/>
          <w:lang w:val="en-US" w:eastAsia="zh-CN"/>
        </w:rPr>
        <w:t>注册护士数5.1人。</w:t>
      </w:r>
      <w:r>
        <w:rPr>
          <w:rFonts w:hint="eastAsia" w:ascii="楷体" w:hAnsi="楷体" w:eastAsia="楷体" w:cs="楷体"/>
          <w:b w:val="0"/>
          <w:bCs w:val="0"/>
          <w:color w:val="auto"/>
          <w:sz w:val="32"/>
          <w:szCs w:val="32"/>
          <w:u w:val="none"/>
          <w:lang w:val="en-US" w:eastAsia="zh-CN"/>
        </w:rPr>
        <w:t>（自治区卫生健康委、医保局等部门单位按职责分工负责）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（二）围绕居民对高品质生活的追求，扩大升级类服务供给。</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1.提升文化和旅游服务水平。优化文旅产业布局，发展草原、森林、沙漠、冰雪等特色旅游，深化对外交流合作，打造国内外知名的旅游目的地。推动文旅产业创新，深化农牧文旅体商融合发展，盘活存量项目，加强精细化管理，优化服务供给，推广“i游内蒙古”。高水平举办文旅活动，鼓励热门景区、文博场馆延长开放时间。引导演艺、娱乐等业态健康有序发展，打造《奔腾的海骝马》等文化精品。“十五五”时期，实现国内接待游客总人次年均增长5%，国内旅游总花费年均增长4%。</w:t>
      </w:r>
      <w:r>
        <w:rPr>
          <w:rFonts w:hint="eastAsia" w:ascii="楷体" w:hAnsi="楷体" w:eastAsia="楷体" w:cs="楷体"/>
          <w:b w:val="0"/>
          <w:bCs w:val="0"/>
          <w:color w:val="auto"/>
          <w:sz w:val="32"/>
          <w:szCs w:val="32"/>
          <w:u w:val="none"/>
          <w:lang w:val="en-US" w:eastAsia="zh-CN"/>
        </w:rPr>
        <w:t>（自治区文化和旅游厅等部门单位按职责分工负责）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2.加强体育健身服务供给。合理布局全民健身设施，提升公共体育场馆开放水平，到2030年，人均体育场地面积达到3.9平方米。丰富体育产品供给，广泛开展全民健身活动。推动赛事</w:t>
      </w:r>
      <w:r>
        <w:rPr>
          <w:rFonts w:hint="eastAsia" w:ascii="仿宋" w:hAnsi="仿宋" w:eastAsia="仿宋" w:cs="仿宋"/>
          <w:b w:val="0"/>
          <w:bCs w:val="0"/>
          <w:color w:val="auto"/>
          <w:spacing w:val="-6"/>
          <w:sz w:val="32"/>
          <w:szCs w:val="32"/>
          <w:u w:val="none"/>
          <w:lang w:val="en-US" w:eastAsia="zh-CN"/>
        </w:rPr>
        <w:t>经济和冰雪经济发展，挖掘体育消费潜力。优化户外运动布局，</w:t>
      </w:r>
      <w:r>
        <w:rPr>
          <w:rFonts w:hint="eastAsia" w:ascii="仿宋" w:hAnsi="仿宋" w:eastAsia="仿宋" w:cs="仿宋"/>
          <w:b w:val="0"/>
          <w:bCs w:val="0"/>
          <w:color w:val="auto"/>
          <w:sz w:val="32"/>
          <w:szCs w:val="32"/>
          <w:u w:val="none"/>
          <w:lang w:val="en-US" w:eastAsia="zh-CN"/>
        </w:rPr>
        <w:t>培育房车露营等新业态。</w:t>
      </w:r>
      <w:r>
        <w:rPr>
          <w:rFonts w:hint="eastAsia" w:ascii="楷体" w:hAnsi="楷体" w:eastAsia="楷体" w:cs="楷体"/>
          <w:b w:val="0"/>
          <w:bCs w:val="0"/>
          <w:color w:val="auto"/>
          <w:sz w:val="32"/>
          <w:szCs w:val="32"/>
          <w:u w:val="none"/>
          <w:lang w:val="en-US" w:eastAsia="zh-CN"/>
        </w:rPr>
        <w:t>（自治区文化和旅游厅、体育局等部门单位按职责分工负责）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3.提升住宿餐饮服务水平。适应消费需求升级，提升酒店服务供给水平，举办全区星级旅游饭店服务技能大赛，开展星级饭店、等级旅游民宿评定工作。提高安全卫生标准，发展特色住宿新业态。推动餐饮与农文旅体融合发展，激发消费活力。推出体现地方特色的地理标志美食，更好满足消费者对优质特色餐饮的新需求。</w:t>
      </w:r>
      <w:r>
        <w:rPr>
          <w:rFonts w:hint="eastAsia" w:ascii="楷体" w:hAnsi="楷体" w:eastAsia="楷体" w:cs="楷体"/>
          <w:b w:val="0"/>
          <w:bCs w:val="0"/>
          <w:color w:val="auto"/>
          <w:sz w:val="32"/>
          <w:szCs w:val="32"/>
          <w:u w:val="none"/>
          <w:lang w:val="en-US" w:eastAsia="zh-CN"/>
        </w:rPr>
        <w:t>（自治区农牧厅、商务厅、文化和旅游厅、卫生健康委、市场监管局、体育局等部门单位按职责分工负责）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（三）围绕居民多样化消费需求，做精做细个性化服务。</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1.提升社区家政服务水平。丰富社区公共服务，配套建设养老托育、医疗、便民商业等设施。推进小区环境提升和老旧电梯更新，规范提升物业服务水平，探索“物业服务+生活服务”模式。拓展新型到家服务，提升从业人员素质和专业化服务水平。</w:t>
      </w:r>
      <w:r>
        <w:rPr>
          <w:rFonts w:hint="eastAsia" w:ascii="楷体" w:hAnsi="楷体" w:eastAsia="楷体" w:cs="楷体"/>
          <w:b w:val="0"/>
          <w:bCs w:val="0"/>
          <w:color w:val="auto"/>
          <w:sz w:val="32"/>
          <w:szCs w:val="32"/>
          <w:u w:val="none"/>
          <w:lang w:val="en-US" w:eastAsia="zh-CN"/>
        </w:rPr>
        <w:t>（自治区发展改革委、民政厅、住房城乡建设厅、商务厅、卫生健康委等部门单位按职责分工负责）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16"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pacing w:val="-6"/>
          <w:sz w:val="32"/>
          <w:szCs w:val="32"/>
          <w:u w:val="none"/>
          <w:lang w:val="en-US" w:eastAsia="zh-CN"/>
        </w:rPr>
        <w:t>2.丰富零售服务场景。实施零售业创新升级工程，推进城市“一店一策”改造，发展首店首发经济，推动实体零售与数字经济深度融合。通过推动场景化改造、品质化供给、数字化赋能、多元化创新、供应链提升实现零售业高质量发展，推动农村牧区电商高质量发展，总结一批典型案例，发挥示范引领作用。到2030年，引进品牌首店、旗舰店300家以上。</w:t>
      </w:r>
      <w:r>
        <w:rPr>
          <w:rFonts w:hint="eastAsia" w:ascii="楷体" w:hAnsi="楷体" w:eastAsia="楷体" w:cs="楷体"/>
          <w:b w:val="0"/>
          <w:bCs w:val="0"/>
          <w:color w:val="auto"/>
          <w:spacing w:val="-6"/>
          <w:sz w:val="32"/>
          <w:szCs w:val="32"/>
          <w:u w:val="none"/>
          <w:lang w:val="en-US" w:eastAsia="zh-CN"/>
        </w:rPr>
        <w:t>（自治区财政厅、农牧</w:t>
      </w:r>
      <w:r>
        <w:rPr>
          <w:rFonts w:hint="eastAsia" w:ascii="楷体" w:hAnsi="楷体" w:eastAsia="楷体" w:cs="楷体"/>
          <w:b w:val="0"/>
          <w:bCs w:val="0"/>
          <w:color w:val="auto"/>
          <w:sz w:val="32"/>
          <w:szCs w:val="32"/>
          <w:u w:val="none"/>
          <w:lang w:val="en-US" w:eastAsia="zh-CN"/>
        </w:rPr>
        <w:t>厅、商务厅等部门单位按职责分工负责）</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3.提升预防保健服务能力。加强妇幼健康服务体系建设，推进妇幼保健</w:t>
      </w:r>
      <w:r>
        <w:rPr>
          <w:rFonts w:hint="eastAsia" w:ascii="仿宋" w:hAnsi="仿宋" w:eastAsia="仿宋" w:cs="仿宋"/>
          <w:b w:val="0"/>
          <w:bCs w:val="0"/>
          <w:color w:val="auto"/>
          <w:spacing w:val="-6"/>
          <w:sz w:val="32"/>
          <w:szCs w:val="32"/>
          <w:u w:val="none"/>
          <w:lang w:val="en-US" w:eastAsia="zh-CN"/>
        </w:rPr>
        <w:t>机构标准化、规范化，强化生育支持与孕产期保健，实施出生缺陷防治提升计划。持续开展儿科、精神卫生服务行动，完善老幼健康服务网络，健全心理健康社会化服务体系，发展运动数据、营养咨询等服务。</w:t>
      </w:r>
      <w:r>
        <w:rPr>
          <w:rFonts w:hint="eastAsia" w:ascii="楷体" w:hAnsi="楷体" w:eastAsia="楷体" w:cs="楷体"/>
          <w:b w:val="0"/>
          <w:bCs w:val="0"/>
          <w:color w:val="auto"/>
          <w:spacing w:val="-6"/>
          <w:sz w:val="32"/>
          <w:szCs w:val="32"/>
          <w:u w:val="none"/>
          <w:lang w:val="en-US" w:eastAsia="zh-CN"/>
        </w:rPr>
        <w:t>（自治区</w:t>
      </w:r>
      <w:r>
        <w:rPr>
          <w:rFonts w:hint="eastAsia" w:ascii="楷体" w:hAnsi="楷体" w:eastAsia="楷体" w:cs="楷体"/>
          <w:b w:val="0"/>
          <w:bCs w:val="0"/>
          <w:color w:val="auto"/>
          <w:sz w:val="32"/>
          <w:szCs w:val="32"/>
          <w:u w:val="none"/>
          <w:lang w:val="en-US" w:eastAsia="zh-CN"/>
        </w:rPr>
        <w:t>卫生健康委等部门单位按职责分工负责）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四、加快服务业数智化、标准化、融合化、国际化发展</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（一）推进服务业数智化转型。</w:t>
      </w:r>
      <w:r>
        <w:rPr>
          <w:rFonts w:hint="eastAsia" w:ascii="仿宋" w:hAnsi="仿宋" w:eastAsia="仿宋" w:cs="仿宋"/>
          <w:b w:val="0"/>
          <w:bCs w:val="0"/>
          <w:color w:val="auto"/>
          <w:sz w:val="32"/>
          <w:szCs w:val="32"/>
          <w:u w:val="none"/>
          <w:lang w:val="en-US" w:eastAsia="zh-CN"/>
        </w:rPr>
        <w:t>支持农牧业科技企业与数字服务平台发展，强化一站式数智化服务。实施数智供应链专项行动，推进数据赋能重点场景项目。培育引进数智化服务商，</w:t>
      </w:r>
      <w:r>
        <w:rPr>
          <w:rFonts w:hint="eastAsia" w:ascii="仿宋" w:hAnsi="仿宋" w:eastAsia="仿宋" w:cs="仿宋"/>
          <w:b w:val="0"/>
          <w:bCs w:val="0"/>
          <w:color w:val="auto"/>
          <w:spacing w:val="6"/>
          <w:sz w:val="32"/>
          <w:szCs w:val="32"/>
          <w:u w:val="none"/>
          <w:lang w:val="en-US" w:eastAsia="zh-CN"/>
        </w:rPr>
        <w:t>打造协同应用标杆</w:t>
      </w:r>
      <w:r>
        <w:rPr>
          <w:rFonts w:hint="eastAsia" w:ascii="仿宋" w:hAnsi="仿宋" w:eastAsia="仿宋" w:cs="仿宋"/>
          <w:b w:val="0"/>
          <w:bCs w:val="0"/>
          <w:color w:val="auto"/>
          <w:spacing w:val="0"/>
          <w:sz w:val="32"/>
          <w:szCs w:val="32"/>
          <w:u w:val="none"/>
          <w:lang w:val="en-US" w:eastAsia="zh-CN"/>
        </w:rPr>
        <w:t>。完善统一共享的政务服务、公共资源交易平台体系，推动数智技术与政务服务、公共资源交易深度融合。</w:t>
      </w:r>
      <w:r>
        <w:rPr>
          <w:rFonts w:hint="eastAsia" w:ascii="楷体" w:hAnsi="楷体" w:eastAsia="楷体" w:cs="楷体"/>
          <w:b w:val="0"/>
          <w:bCs w:val="0"/>
          <w:color w:val="auto"/>
          <w:spacing w:val="0"/>
          <w:sz w:val="32"/>
          <w:szCs w:val="32"/>
          <w:u w:val="none"/>
          <w:lang w:val="en-US" w:eastAsia="zh-CN"/>
        </w:rPr>
        <w:t>（自治区工业和信息化厅、交通运输厅、农牧厅、商务厅、政务服务与数据管理局、公共资源交易中心等部门单位按职责分工负责）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（二）健全标准规范体系。</w:t>
      </w:r>
      <w:r>
        <w:rPr>
          <w:rFonts w:hint="eastAsia" w:ascii="仿宋" w:hAnsi="仿宋" w:eastAsia="仿宋" w:cs="仿宋"/>
          <w:b w:val="0"/>
          <w:bCs w:val="0"/>
          <w:color w:val="auto"/>
          <w:sz w:val="32"/>
          <w:szCs w:val="32"/>
          <w:u w:val="none"/>
          <w:lang w:val="en-US" w:eastAsia="zh-CN"/>
        </w:rPr>
        <w:t>在健康照护、交通运输、文化旅游、养老托育等领域增加地方标准供给，完善标准体系，培育一批服务业标准化试点项目。推动低空服务、算力服务、农牧业社会化服务等内蒙古特色新业态完善标准。积极参与绿色服务标准、平台经济服务标准的修订完善工作。到2030年，力争新增</w:t>
      </w:r>
      <w:r>
        <w:rPr>
          <w:rFonts w:hint="eastAsia" w:ascii="仿宋" w:hAnsi="仿宋" w:eastAsia="仿宋" w:cs="仿宋"/>
          <w:b w:val="0"/>
          <w:bCs w:val="0"/>
          <w:color w:val="auto"/>
          <w:spacing w:val="-6"/>
          <w:sz w:val="32"/>
          <w:szCs w:val="32"/>
          <w:u w:val="none"/>
          <w:lang w:val="en-US" w:eastAsia="zh-CN"/>
        </w:rPr>
        <w:t>服务业领域地方标准50项。</w:t>
      </w:r>
      <w:r>
        <w:rPr>
          <w:rFonts w:hint="eastAsia" w:ascii="楷体" w:hAnsi="楷体" w:eastAsia="楷体" w:cs="楷体"/>
          <w:b w:val="0"/>
          <w:bCs w:val="0"/>
          <w:color w:val="auto"/>
          <w:spacing w:val="-6"/>
          <w:sz w:val="32"/>
          <w:szCs w:val="32"/>
          <w:u w:val="none"/>
          <w:lang w:val="en-US" w:eastAsia="zh-CN"/>
        </w:rPr>
        <w:t>（自治区工业和信息化厅、民政厅、</w:t>
      </w:r>
      <w:r>
        <w:rPr>
          <w:rFonts w:hint="eastAsia" w:ascii="楷体" w:hAnsi="楷体" w:eastAsia="楷体" w:cs="楷体"/>
          <w:b w:val="0"/>
          <w:bCs w:val="0"/>
          <w:color w:val="auto"/>
          <w:sz w:val="32"/>
          <w:szCs w:val="32"/>
          <w:u w:val="none"/>
          <w:lang w:val="en-US" w:eastAsia="zh-CN"/>
        </w:rPr>
        <w:t>生态环境厅、交通运输厅、农牧厅、文化和旅游厅、卫生健康委、市场监管局、政务服务与数据管理局等部门单位按职责分工负责）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（三）推动现代服务业与先进制造业深度融合。</w:t>
      </w:r>
      <w:r>
        <w:rPr>
          <w:rFonts w:hint="eastAsia" w:ascii="仿宋" w:hAnsi="仿宋" w:eastAsia="仿宋" w:cs="仿宋"/>
          <w:b w:val="0"/>
          <w:bCs w:val="0"/>
          <w:color w:val="auto"/>
          <w:sz w:val="32"/>
          <w:szCs w:val="32"/>
          <w:u w:val="none"/>
          <w:lang w:val="en-US" w:eastAsia="zh-CN"/>
        </w:rPr>
        <w:t>深入实施国家先进制造业和现代服务业融合发展试点，组织制造业企业积极申报国家服务型制造示范企业。支持呼和浩特市打造现代服务业新高地、呼伦贝尔市建设工业品耐冷测试基地。实施“快递进厂”工程。</w:t>
      </w:r>
      <w:r>
        <w:rPr>
          <w:rFonts w:hint="eastAsia" w:ascii="楷体" w:hAnsi="楷体" w:eastAsia="楷体" w:cs="楷体"/>
          <w:b w:val="0"/>
          <w:bCs w:val="0"/>
          <w:color w:val="auto"/>
          <w:sz w:val="32"/>
          <w:szCs w:val="32"/>
          <w:u w:val="none"/>
          <w:lang w:val="en-US" w:eastAsia="zh-CN"/>
        </w:rPr>
        <w:t>（自治区发展改革委、工业和信息化厅，内蒙古邮政管理局等部门单位按职责分工负责）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（四）促进现代农牧业与现代服务</w:t>
      </w:r>
      <w:r>
        <w:rPr>
          <w:rFonts w:hint="eastAsia" w:ascii="楷体" w:hAnsi="楷体" w:eastAsia="楷体" w:cs="楷体"/>
          <w:b w:val="0"/>
          <w:bCs w:val="0"/>
          <w:color w:val="auto"/>
          <w:spacing w:val="6"/>
          <w:sz w:val="32"/>
          <w:szCs w:val="32"/>
          <w:u w:val="none"/>
          <w:lang w:val="en-US" w:eastAsia="zh-CN"/>
        </w:rPr>
        <w:t>业深度融合。</w:t>
      </w:r>
      <w:r>
        <w:rPr>
          <w:rFonts w:hint="eastAsia" w:ascii="仿宋" w:hAnsi="仿宋" w:eastAsia="仿宋" w:cs="仿宋"/>
          <w:b w:val="0"/>
          <w:bCs w:val="0"/>
          <w:color w:val="auto"/>
          <w:spacing w:val="6"/>
          <w:sz w:val="32"/>
          <w:szCs w:val="32"/>
          <w:u w:val="none"/>
          <w:lang w:val="en-US" w:eastAsia="zh-CN"/>
        </w:rPr>
        <w:t>围绕奶业、</w:t>
      </w:r>
      <w:r>
        <w:rPr>
          <w:rFonts w:hint="eastAsia" w:ascii="仿宋" w:hAnsi="仿宋" w:eastAsia="仿宋" w:cs="仿宋"/>
          <w:b w:val="0"/>
          <w:bCs w:val="0"/>
          <w:color w:val="auto"/>
          <w:spacing w:val="-6"/>
          <w:sz w:val="32"/>
          <w:szCs w:val="32"/>
          <w:u w:val="none"/>
          <w:lang w:val="en-US" w:eastAsia="zh-CN"/>
        </w:rPr>
        <w:t>肉牛、肉羊、羊绒、马铃薯等产业链，促进农牧业与科技创新、</w:t>
      </w:r>
      <w:r>
        <w:rPr>
          <w:rFonts w:hint="eastAsia" w:ascii="仿宋" w:hAnsi="仿宋" w:eastAsia="仿宋" w:cs="仿宋"/>
          <w:b w:val="0"/>
          <w:bCs w:val="0"/>
          <w:color w:val="auto"/>
          <w:sz w:val="32"/>
          <w:szCs w:val="32"/>
          <w:u w:val="none"/>
          <w:lang w:val="en-US" w:eastAsia="zh-CN"/>
        </w:rPr>
        <w:t>冷链物流、旅游、教育、文化、康养等深度融合。加强现代农事综合服务中心建设。引导邮政快递企业进驻农牧业产业园、农畜产品加工集中区，提供专业寄递服务。</w:t>
      </w:r>
      <w:r>
        <w:rPr>
          <w:rFonts w:hint="eastAsia" w:ascii="楷体" w:hAnsi="楷体" w:eastAsia="楷体" w:cs="楷体"/>
          <w:b w:val="0"/>
          <w:bCs w:val="0"/>
          <w:color w:val="auto"/>
          <w:sz w:val="32"/>
          <w:szCs w:val="32"/>
          <w:u w:val="none"/>
          <w:lang w:val="en-US" w:eastAsia="zh-CN"/>
        </w:rPr>
        <w:t>（自治区农牧厅、文化和旅游厅，内蒙古邮政管理局等部门单位按职责分工负责）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（五）营造良好开放环境。</w:t>
      </w:r>
      <w:r>
        <w:rPr>
          <w:rFonts w:hint="eastAsia" w:ascii="仿宋" w:hAnsi="仿宋" w:eastAsia="仿宋" w:cs="仿宋"/>
          <w:b w:val="0"/>
          <w:bCs w:val="0"/>
          <w:color w:val="auto"/>
          <w:sz w:val="32"/>
          <w:szCs w:val="32"/>
          <w:u w:val="none"/>
          <w:lang w:val="en-US" w:eastAsia="zh-CN"/>
        </w:rPr>
        <w:t>高标准建设中国（内蒙古）自由贸易试验区，深入实施自由贸易试验区提升战略，引领高水平对外开放，打造连</w:t>
      </w:r>
      <w:r>
        <w:rPr>
          <w:rFonts w:hint="eastAsia" w:ascii="仿宋" w:hAnsi="仿宋" w:eastAsia="仿宋" w:cs="仿宋"/>
          <w:b w:val="0"/>
          <w:bCs w:val="0"/>
          <w:color w:val="auto"/>
          <w:spacing w:val="-6"/>
          <w:sz w:val="32"/>
          <w:szCs w:val="32"/>
          <w:u w:val="none"/>
          <w:lang w:val="en-US" w:eastAsia="zh-CN"/>
        </w:rPr>
        <w:t>通内外的重要贸易节点。落实外商投资准入前国民待遇加负面清单管理制度，实行负面清单自动校验。发挥外资企业圆桌会议作用，强化服务业外资企业与项目落地服务。打造“两个中心、三个互换局”跨境寄递通道，建立“一事一议”、“帮办代办”机制。</w:t>
      </w:r>
      <w:r>
        <w:rPr>
          <w:rFonts w:hint="eastAsia" w:ascii="楷体" w:hAnsi="楷体" w:eastAsia="楷体" w:cs="楷体"/>
          <w:b w:val="0"/>
          <w:bCs w:val="0"/>
          <w:color w:val="auto"/>
          <w:spacing w:val="-6"/>
          <w:sz w:val="32"/>
          <w:szCs w:val="32"/>
          <w:u w:val="none"/>
          <w:lang w:val="en-US" w:eastAsia="zh-CN"/>
        </w:rPr>
        <w:t>（自治区发展改革委、司法厅、商务厅、市场监管局，内蒙</w:t>
      </w:r>
      <w:r>
        <w:rPr>
          <w:rFonts w:hint="eastAsia" w:ascii="楷体" w:hAnsi="楷体" w:eastAsia="楷体" w:cs="楷体"/>
          <w:b w:val="0"/>
          <w:bCs w:val="0"/>
          <w:color w:val="auto"/>
          <w:sz w:val="32"/>
          <w:szCs w:val="32"/>
          <w:u w:val="none"/>
          <w:lang w:val="en-US" w:eastAsia="zh-CN"/>
        </w:rPr>
        <w:t>古邮政管理局等部门单位按职责分工负责）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pacing w:val="11"/>
          <w:sz w:val="32"/>
          <w:szCs w:val="32"/>
          <w:u w:val="none"/>
          <w:lang w:val="en-US" w:eastAsia="zh-CN"/>
        </w:rPr>
      </w:pPr>
      <w:r>
        <w:rPr>
          <w:rFonts w:hint="eastAsia" w:ascii="楷体" w:hAnsi="楷体" w:eastAsia="楷体" w:cs="楷体"/>
          <w:b w:val="0"/>
          <w:bCs w:val="0"/>
          <w:color w:val="auto"/>
          <w:sz w:val="32"/>
          <w:szCs w:val="32"/>
          <w:u w:val="none"/>
          <w:lang w:val="en-US" w:eastAsia="zh-CN"/>
        </w:rPr>
        <w:t>（六）持续深化国际合作。</w:t>
      </w:r>
      <w:r>
        <w:rPr>
          <w:rFonts w:hint="eastAsia" w:ascii="仿宋" w:hAnsi="仿宋" w:eastAsia="仿宋" w:cs="仿宋"/>
          <w:b w:val="0"/>
          <w:bCs w:val="0"/>
          <w:color w:val="auto"/>
          <w:sz w:val="32"/>
          <w:szCs w:val="32"/>
          <w:u w:val="none"/>
          <w:lang w:val="en-US" w:eastAsia="zh-CN"/>
        </w:rPr>
        <w:t>以共建“一带一路”八项行动为契机，依托中国进出口商品交易会、中国国际进口博览会、中国国际服务贸易交易会、</w:t>
      </w:r>
      <w:r>
        <w:rPr>
          <w:rFonts w:hint="eastAsia" w:ascii="仿宋" w:hAnsi="仿宋" w:eastAsia="仿宋" w:cs="仿宋"/>
          <w:b w:val="0"/>
          <w:bCs w:val="0"/>
          <w:color w:val="auto"/>
          <w:spacing w:val="6"/>
          <w:sz w:val="32"/>
          <w:szCs w:val="32"/>
          <w:u w:val="none"/>
          <w:lang w:val="en-US" w:eastAsia="zh-CN"/>
        </w:rPr>
        <w:t>中国—蒙古国博览会等展会，组织区内服务业企业开拓国际市场，推动外贸与商贸流通企业供需对接。创新文化服务海外推广，打造特色体育旅游品牌，推动赛马、摔跤、射箭等与跨境旅游融合，研究开行特色旅游列车。</w:t>
      </w:r>
      <w:r>
        <w:rPr>
          <w:rFonts w:hint="eastAsia" w:ascii="楷体" w:hAnsi="楷体" w:eastAsia="楷体" w:cs="楷体"/>
          <w:b w:val="0"/>
          <w:bCs w:val="0"/>
          <w:color w:val="auto"/>
          <w:spacing w:val="6"/>
          <w:sz w:val="32"/>
          <w:szCs w:val="32"/>
          <w:u w:val="none"/>
          <w:lang w:val="en-US" w:eastAsia="zh-CN"/>
        </w:rPr>
        <w:t>（自治区商务厅、文化和旅游厅、体育局，内蒙古税务局等部</w:t>
      </w:r>
      <w:r>
        <w:rPr>
          <w:rFonts w:hint="eastAsia" w:ascii="楷体" w:hAnsi="楷体" w:eastAsia="楷体" w:cs="楷体"/>
          <w:b w:val="0"/>
          <w:bCs w:val="0"/>
          <w:color w:val="auto"/>
          <w:spacing w:val="11"/>
          <w:sz w:val="32"/>
          <w:szCs w:val="32"/>
          <w:u w:val="none"/>
          <w:lang w:val="en-US" w:eastAsia="zh-CN"/>
        </w:rPr>
        <w:t>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五、完善政策体系</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（一）放宽服务业市场准入。</w:t>
      </w:r>
      <w:r>
        <w:rPr>
          <w:rFonts w:hint="eastAsia" w:ascii="仿宋" w:hAnsi="仿宋" w:eastAsia="仿宋" w:cs="仿宋"/>
          <w:b w:val="0"/>
          <w:bCs w:val="0"/>
          <w:color w:val="auto"/>
          <w:sz w:val="32"/>
          <w:szCs w:val="32"/>
          <w:u w:val="none"/>
          <w:lang w:val="en-US" w:eastAsia="zh-CN"/>
        </w:rPr>
        <w:t>严格落实“全国一张清单”管理要求，保障各类服务业经营主体平等进入负面清单外领域，按照国家部署清理不合理标准和限制性措施。</w:t>
      </w:r>
      <w:r>
        <w:rPr>
          <w:rFonts w:hint="eastAsia" w:ascii="楷体" w:hAnsi="楷体" w:eastAsia="楷体" w:cs="楷体"/>
          <w:b w:val="0"/>
          <w:bCs w:val="0"/>
          <w:color w:val="auto"/>
          <w:sz w:val="32"/>
          <w:szCs w:val="32"/>
          <w:u w:val="none"/>
          <w:lang w:val="en-US" w:eastAsia="zh-CN"/>
        </w:rPr>
        <w:t>（自治区发展改革委、商务厅、市场监管局等部门单位按职责分工负责）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64" w:firstLineChars="200"/>
        <w:jc w:val="both"/>
        <w:textAlignment w:val="auto"/>
        <w:rPr>
          <w:rFonts w:hint="eastAsia" w:ascii="楷体" w:hAnsi="楷体" w:eastAsia="楷体" w:cs="楷体"/>
          <w:b w:val="0"/>
          <w:bCs w:val="0"/>
          <w:color w:val="auto"/>
          <w:spacing w:val="6"/>
          <w:sz w:val="32"/>
          <w:szCs w:val="32"/>
          <w:u w:val="none"/>
          <w:lang w:val="en-US" w:eastAsia="zh-CN"/>
        </w:rPr>
      </w:pPr>
      <w:r>
        <w:rPr>
          <w:rFonts w:hint="eastAsia" w:ascii="楷体" w:hAnsi="楷体" w:eastAsia="楷体" w:cs="楷体"/>
          <w:b w:val="0"/>
          <w:bCs w:val="0"/>
          <w:color w:val="auto"/>
          <w:spacing w:val="6"/>
          <w:sz w:val="32"/>
          <w:szCs w:val="32"/>
          <w:u w:val="none"/>
          <w:lang w:val="en-US" w:eastAsia="zh-CN"/>
        </w:rPr>
        <w:t>（</w:t>
      </w:r>
      <w:r>
        <w:rPr>
          <w:rFonts w:hint="eastAsia" w:ascii="楷体" w:hAnsi="楷体" w:eastAsia="楷体" w:cs="楷体"/>
          <w:b w:val="0"/>
          <w:bCs w:val="0"/>
          <w:color w:val="auto"/>
          <w:spacing w:val="6"/>
          <w:sz w:val="32"/>
          <w:szCs w:val="32"/>
          <w:u w:val="none"/>
          <w:lang w:val="zh-CN" w:eastAsia="zh-CN"/>
        </w:rPr>
        <w:t>二</w:t>
      </w:r>
      <w:r>
        <w:rPr>
          <w:rFonts w:hint="eastAsia" w:ascii="楷体" w:hAnsi="楷体" w:eastAsia="楷体" w:cs="楷体"/>
          <w:b w:val="0"/>
          <w:bCs w:val="0"/>
          <w:color w:val="auto"/>
          <w:spacing w:val="6"/>
          <w:sz w:val="32"/>
          <w:szCs w:val="32"/>
          <w:u w:val="none"/>
          <w:lang w:val="en-US" w:eastAsia="zh-CN"/>
        </w:rPr>
        <w:t>）丰富服务业场景供给。</w:t>
      </w:r>
      <w:r>
        <w:rPr>
          <w:rFonts w:hint="eastAsia" w:ascii="仿宋" w:hAnsi="仿宋" w:eastAsia="仿宋" w:cs="仿宋"/>
          <w:b w:val="0"/>
          <w:bCs w:val="0"/>
          <w:color w:val="auto"/>
          <w:spacing w:val="6"/>
          <w:sz w:val="32"/>
          <w:szCs w:val="32"/>
          <w:u w:val="none"/>
          <w:lang w:val="en-US" w:eastAsia="zh-CN"/>
        </w:rPr>
        <w:t>推动行业“小散乱”企业向标准化、品牌化、连锁化转型，培育骨干企业。加快发展数字内容、互联网安全、房地产服务、宠物服务、新能源运维服务、互联网+医疗健康服务等业态。</w:t>
      </w:r>
      <w:r>
        <w:rPr>
          <w:rFonts w:hint="eastAsia" w:ascii="楷体" w:hAnsi="楷体" w:eastAsia="楷体" w:cs="楷体"/>
          <w:b w:val="0"/>
          <w:bCs w:val="0"/>
          <w:color w:val="auto"/>
          <w:spacing w:val="6"/>
          <w:sz w:val="32"/>
          <w:szCs w:val="32"/>
          <w:u w:val="none"/>
          <w:lang w:val="en-US" w:eastAsia="zh-CN"/>
        </w:rPr>
        <w:t>（自治区党委网信办、住房城乡建设厅、农牧厅、市场监管局、能源局、政务服务与数据管理局等部门单位按职责分工负责）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64" w:firstLineChars="200"/>
        <w:jc w:val="both"/>
        <w:textAlignment w:val="auto"/>
        <w:rPr>
          <w:rFonts w:hint="eastAsia" w:ascii="楷体" w:hAnsi="楷体" w:eastAsia="楷体" w:cs="楷体"/>
          <w:b w:val="0"/>
          <w:bCs w:val="0"/>
          <w:color w:val="auto"/>
          <w:spacing w:val="6"/>
          <w:sz w:val="32"/>
          <w:szCs w:val="32"/>
          <w:u w:val="none"/>
          <w:lang w:val="en-US" w:eastAsia="zh-CN"/>
        </w:rPr>
      </w:pPr>
      <w:r>
        <w:rPr>
          <w:rFonts w:hint="eastAsia" w:ascii="楷体" w:hAnsi="楷体" w:eastAsia="楷体" w:cs="楷体"/>
          <w:b w:val="0"/>
          <w:bCs w:val="0"/>
          <w:color w:val="auto"/>
          <w:spacing w:val="6"/>
          <w:sz w:val="32"/>
          <w:szCs w:val="32"/>
          <w:u w:val="none"/>
          <w:lang w:val="zh-CN" w:eastAsia="zh-CN"/>
        </w:rPr>
        <w:t>（</w:t>
      </w:r>
      <w:r>
        <w:rPr>
          <w:rFonts w:hint="eastAsia" w:ascii="楷体" w:hAnsi="楷体" w:eastAsia="楷体" w:cs="楷体"/>
          <w:b w:val="0"/>
          <w:bCs w:val="0"/>
          <w:color w:val="auto"/>
          <w:spacing w:val="6"/>
          <w:sz w:val="32"/>
          <w:szCs w:val="32"/>
          <w:u w:val="none"/>
          <w:lang w:val="en-US" w:eastAsia="zh-CN"/>
        </w:rPr>
        <w:t>三</w:t>
      </w:r>
      <w:r>
        <w:rPr>
          <w:rFonts w:hint="eastAsia" w:ascii="楷体" w:hAnsi="楷体" w:eastAsia="楷体" w:cs="楷体"/>
          <w:b w:val="0"/>
          <w:bCs w:val="0"/>
          <w:color w:val="auto"/>
          <w:spacing w:val="6"/>
          <w:sz w:val="32"/>
          <w:szCs w:val="32"/>
          <w:u w:val="none"/>
          <w:lang w:val="zh-CN" w:eastAsia="zh-CN"/>
        </w:rPr>
        <w:t>）建立健全服务业统计指标体系。</w:t>
      </w:r>
      <w:r>
        <w:rPr>
          <w:rFonts w:hint="eastAsia" w:ascii="仿宋" w:hAnsi="仿宋" w:eastAsia="仿宋" w:cs="仿宋"/>
          <w:b w:val="0"/>
          <w:bCs w:val="0"/>
          <w:color w:val="auto"/>
          <w:spacing w:val="6"/>
          <w:sz w:val="32"/>
          <w:szCs w:val="32"/>
          <w:u w:val="none"/>
          <w:lang w:val="en-US" w:eastAsia="zh-CN"/>
        </w:rPr>
        <w:t>完善服务业统计制度，健全月度、季度、年度信息发布机制。加强新产业、新业态、新商业模式统计，全面反映发展成效。加强规上服务业统计，完善规下服务业抽样调查。建立常态化监测机制，分地区、分行业做好预警分析，为决策研判提供支撑。</w:t>
      </w:r>
      <w:r>
        <w:rPr>
          <w:rFonts w:hint="eastAsia" w:ascii="楷体" w:hAnsi="楷体" w:eastAsia="楷体" w:cs="楷体"/>
          <w:b w:val="0"/>
          <w:bCs w:val="0"/>
          <w:color w:val="auto"/>
          <w:spacing w:val="6"/>
          <w:sz w:val="32"/>
          <w:szCs w:val="32"/>
          <w:u w:val="none"/>
          <w:lang w:val="zh-CN" w:eastAsia="zh-CN"/>
        </w:rPr>
        <w:t>（自治区</w:t>
      </w:r>
      <w:r>
        <w:rPr>
          <w:rFonts w:hint="eastAsia" w:ascii="楷体" w:hAnsi="楷体" w:eastAsia="楷体" w:cs="楷体"/>
          <w:b w:val="0"/>
          <w:bCs w:val="0"/>
          <w:color w:val="auto"/>
          <w:spacing w:val="6"/>
          <w:sz w:val="32"/>
          <w:szCs w:val="32"/>
          <w:u w:val="none"/>
          <w:lang w:val="en-US" w:eastAsia="zh-CN"/>
        </w:rPr>
        <w:t>统计局等部门单位按职责分工负责）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（四）强化财政资金支持。</w:t>
      </w:r>
      <w:r>
        <w:rPr>
          <w:rFonts w:hint="eastAsia" w:ascii="仿宋" w:hAnsi="仿宋" w:eastAsia="仿宋" w:cs="仿宋"/>
          <w:b w:val="0"/>
          <w:bCs w:val="0"/>
          <w:color w:val="auto"/>
          <w:sz w:val="32"/>
          <w:szCs w:val="32"/>
          <w:u w:val="none"/>
          <w:lang w:val="en-US" w:eastAsia="zh-CN"/>
        </w:rPr>
        <w:t>用好地方政府专项债等，发挥政府投资带动作用，引导各类资本投入服务业项目。用好自治区服务业发展相关专项资金，支持区内服务业重点项目建设。鼓励政府投资平台市场化参与重大服务业项目建设运营，开展中小微服务业企业股权投资。支持社会资本设立风投、创投基金，加大对种子期、初创期服务业企业及新业态项目投入。依法落实支持服务业发展税收优惠政策，提升办税缴费服务质效。</w:t>
      </w:r>
      <w:r>
        <w:rPr>
          <w:rFonts w:hint="eastAsia" w:ascii="楷体" w:hAnsi="楷体" w:eastAsia="楷体" w:cs="楷体"/>
          <w:b w:val="0"/>
          <w:bCs w:val="0"/>
          <w:color w:val="auto"/>
          <w:sz w:val="32"/>
          <w:szCs w:val="32"/>
          <w:u w:val="none"/>
          <w:lang w:val="zh-CN" w:eastAsia="zh-CN"/>
        </w:rPr>
        <w:t>（自治区</w:t>
      </w:r>
      <w:r>
        <w:rPr>
          <w:rFonts w:hint="eastAsia" w:ascii="楷体" w:hAnsi="楷体" w:eastAsia="楷体" w:cs="楷体"/>
          <w:b w:val="0"/>
          <w:bCs w:val="0"/>
          <w:color w:val="auto"/>
          <w:sz w:val="32"/>
          <w:szCs w:val="32"/>
          <w:u w:val="none"/>
          <w:lang w:val="en-US" w:eastAsia="zh-CN"/>
        </w:rPr>
        <w:t>党委金融办、发展改革委、财政厅，内蒙古税务局、内蒙古证监局等部门单位按职责分工负责）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（五）用好金融政策工具。</w:t>
      </w:r>
      <w:r>
        <w:rPr>
          <w:rFonts w:hint="eastAsia" w:ascii="仿宋" w:hAnsi="仿宋" w:eastAsia="仿宋" w:cs="仿宋"/>
          <w:b w:val="0"/>
          <w:bCs w:val="0"/>
          <w:color w:val="auto"/>
          <w:sz w:val="32"/>
          <w:szCs w:val="32"/>
          <w:u w:val="none"/>
          <w:lang w:val="en-US" w:eastAsia="zh-CN"/>
        </w:rPr>
        <w:t>落实国家服务业经营主体贷款财政贴息政策。支持服务业企业进入资本市场融资，拓宽基于质量、标准、品牌、专利等要素的融资渠道，鼓励创投、担保机构支持服务业企业。支持服务业领域符合条件的项目向国家申请发行基础设施领域不动产投资信托基金（REITs）。</w:t>
      </w:r>
      <w:r>
        <w:rPr>
          <w:rFonts w:hint="eastAsia" w:ascii="楷体" w:hAnsi="楷体" w:eastAsia="楷体" w:cs="楷体"/>
          <w:b w:val="0"/>
          <w:bCs w:val="0"/>
          <w:color w:val="auto"/>
          <w:sz w:val="32"/>
          <w:szCs w:val="32"/>
          <w:u w:val="none"/>
          <w:lang w:val="en-US" w:eastAsia="zh-CN"/>
        </w:rPr>
        <w:t>（自治区党委金融办、财政厅、商务厅，中国人民银行内蒙古自治区分行、内蒙古金融监管局、内蒙古证监局等部门单位按职责分工负责）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64" w:firstLineChars="200"/>
        <w:jc w:val="both"/>
        <w:textAlignment w:val="auto"/>
        <w:rPr>
          <w:rFonts w:hint="eastAsia" w:ascii="楷体" w:hAnsi="楷体" w:eastAsia="楷体" w:cs="楷体"/>
          <w:b w:val="0"/>
          <w:bCs w:val="0"/>
          <w:color w:val="auto"/>
          <w:spacing w:val="6"/>
          <w:sz w:val="32"/>
          <w:szCs w:val="32"/>
          <w:u w:val="none"/>
          <w:lang w:val="en-US" w:eastAsia="zh-CN"/>
        </w:rPr>
      </w:pPr>
      <w:r>
        <w:rPr>
          <w:rFonts w:hint="eastAsia" w:ascii="楷体" w:hAnsi="楷体" w:eastAsia="楷体" w:cs="楷体"/>
          <w:b w:val="0"/>
          <w:bCs w:val="0"/>
          <w:color w:val="auto"/>
          <w:spacing w:val="6"/>
          <w:sz w:val="32"/>
          <w:szCs w:val="32"/>
          <w:u w:val="none"/>
          <w:lang w:val="en-US" w:eastAsia="zh-CN"/>
        </w:rPr>
        <w:t>（六）强化基础设施支撑保障能力。</w:t>
      </w:r>
      <w:r>
        <w:rPr>
          <w:rFonts w:hint="eastAsia" w:ascii="仿宋" w:hAnsi="仿宋" w:eastAsia="仿宋" w:cs="仿宋"/>
          <w:b w:val="0"/>
          <w:bCs w:val="0"/>
          <w:color w:val="auto"/>
          <w:spacing w:val="6"/>
          <w:sz w:val="32"/>
          <w:szCs w:val="32"/>
          <w:u w:val="none"/>
          <w:lang w:val="en-US" w:eastAsia="zh-CN"/>
        </w:rPr>
        <w:t>加大停车设施建设力度，年均新增各类城镇停车泊位供给1.2万个，推进公共停车设施智能化升级。支持充电设施建设及老旧设备改造。聚焦便民服务基础设施建设，更新各类商业网点，鼓励老旧街区、厂区改造，提升文化旅游服务设施功能。</w:t>
      </w:r>
      <w:r>
        <w:rPr>
          <w:rFonts w:hint="eastAsia" w:ascii="楷体" w:hAnsi="楷体" w:eastAsia="楷体" w:cs="楷体"/>
          <w:b w:val="0"/>
          <w:bCs w:val="0"/>
          <w:color w:val="auto"/>
          <w:spacing w:val="6"/>
          <w:sz w:val="32"/>
          <w:szCs w:val="32"/>
          <w:u w:val="none"/>
          <w:lang w:val="en-US" w:eastAsia="zh-CN"/>
        </w:rPr>
        <w:t>（自治区工业和信息化厅、住房城乡建设厅、商务厅、文化和旅游厅、能源局等部门单位按职责分工负责）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16" w:firstLineChars="200"/>
        <w:jc w:val="both"/>
        <w:textAlignment w:val="auto"/>
        <w:rPr>
          <w:rFonts w:hint="eastAsia" w:ascii="楷体" w:hAnsi="楷体" w:eastAsia="楷体" w:cs="楷体"/>
          <w:b w:val="0"/>
          <w:bCs w:val="0"/>
          <w:color w:val="auto"/>
          <w:spacing w:val="-6"/>
          <w:sz w:val="32"/>
          <w:szCs w:val="32"/>
          <w:u w:val="none"/>
          <w:lang w:val="en-US" w:eastAsia="zh-CN"/>
        </w:rPr>
      </w:pPr>
      <w:r>
        <w:rPr>
          <w:rFonts w:hint="eastAsia" w:ascii="楷体" w:hAnsi="楷体" w:eastAsia="楷体" w:cs="楷体"/>
          <w:b w:val="0"/>
          <w:bCs w:val="0"/>
          <w:color w:val="auto"/>
          <w:spacing w:val="-6"/>
          <w:sz w:val="32"/>
          <w:szCs w:val="32"/>
          <w:u w:val="none"/>
          <w:lang w:val="en-US" w:eastAsia="zh-CN"/>
        </w:rPr>
        <w:t>（七）做大做强领军企业。</w:t>
      </w:r>
      <w:r>
        <w:rPr>
          <w:rFonts w:hint="eastAsia" w:ascii="仿宋" w:hAnsi="仿宋" w:eastAsia="仿宋" w:cs="仿宋"/>
          <w:b w:val="0"/>
          <w:bCs w:val="0"/>
          <w:color w:val="auto"/>
          <w:spacing w:val="-6"/>
          <w:sz w:val="32"/>
          <w:szCs w:val="32"/>
          <w:u w:val="none"/>
          <w:lang w:val="en-US" w:eastAsia="zh-CN"/>
        </w:rPr>
        <w:t>“十五五”时期，推动规上企业做大做强，</w:t>
      </w:r>
      <w:r>
        <w:rPr>
          <w:rFonts w:hint="eastAsia" w:ascii="仿宋" w:hAnsi="仿宋" w:eastAsia="仿宋" w:cs="仿宋"/>
          <w:b w:val="0"/>
          <w:bCs w:val="0"/>
          <w:color w:val="auto"/>
          <w:spacing w:val="-6"/>
          <w:sz w:val="32"/>
          <w:szCs w:val="32"/>
          <w:u w:val="none"/>
          <w:lang w:val="en-US" w:eastAsia="zh-CN" w:bidi="mn-Mong-CN"/>
        </w:rPr>
        <w:t>培育骨干企业，力争入围中国服务业企业500强、中国服务业民营企业100强</w:t>
      </w:r>
      <w:r>
        <w:rPr>
          <w:rFonts w:hint="eastAsia" w:ascii="仿宋" w:hAnsi="仿宋" w:eastAsia="仿宋" w:cs="仿宋"/>
          <w:b w:val="0"/>
          <w:bCs w:val="0"/>
          <w:color w:val="auto"/>
          <w:spacing w:val="-6"/>
          <w:sz w:val="32"/>
          <w:szCs w:val="32"/>
          <w:u w:val="none"/>
          <w:lang w:val="en-US" w:eastAsia="zh-CN"/>
        </w:rPr>
        <w:t>。鼓励各地区积极招引知名服务业企业在自治区设立总部（区域总部）或销售、结算、财务等职能型总部。鼓励外地法人在自治区注册的服务业产业活动单位财务独立核算，引导服务业企业开展跨行业、跨区域、跨所有制并购重组，支持引进产业链、供应链上下游企业。</w:t>
      </w:r>
      <w:r>
        <w:rPr>
          <w:rFonts w:hint="eastAsia" w:ascii="楷体" w:hAnsi="楷体" w:eastAsia="楷体" w:cs="楷体"/>
          <w:b w:val="0"/>
          <w:bCs w:val="0"/>
          <w:color w:val="auto"/>
          <w:spacing w:val="-6"/>
          <w:sz w:val="32"/>
          <w:szCs w:val="32"/>
          <w:u w:val="none"/>
          <w:lang w:val="en-US" w:eastAsia="zh-CN"/>
        </w:rPr>
        <w:t>（自治区发展改革委、工业和信息化厅、财政厅、商务厅及各服务业细分行业主管部门按职责分工负责）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16" w:firstLineChars="200"/>
        <w:jc w:val="both"/>
        <w:textAlignment w:val="auto"/>
        <w:rPr>
          <w:rFonts w:hint="eastAsia" w:ascii="楷体" w:hAnsi="楷体" w:eastAsia="楷体" w:cs="楷体"/>
          <w:b w:val="0"/>
          <w:bCs w:val="0"/>
          <w:color w:val="auto"/>
          <w:spacing w:val="-6"/>
          <w:sz w:val="32"/>
          <w:szCs w:val="32"/>
          <w:u w:val="none"/>
          <w:lang w:val="en-US" w:eastAsia="zh-CN"/>
        </w:rPr>
      </w:pPr>
      <w:r>
        <w:rPr>
          <w:rFonts w:hint="eastAsia" w:ascii="楷体" w:hAnsi="楷体" w:eastAsia="楷体" w:cs="楷体"/>
          <w:b w:val="0"/>
          <w:bCs w:val="0"/>
          <w:color w:val="auto"/>
          <w:spacing w:val="-6"/>
          <w:sz w:val="32"/>
          <w:szCs w:val="32"/>
          <w:u w:val="none"/>
          <w:lang w:val="en-US" w:eastAsia="zh-CN"/>
        </w:rPr>
        <w:t>（八）积极引导“个转企”、“小升规”。</w:t>
      </w:r>
      <w:r>
        <w:rPr>
          <w:rFonts w:hint="eastAsia" w:ascii="仿宋" w:hAnsi="仿宋" w:eastAsia="仿宋" w:cs="仿宋"/>
          <w:b w:val="0"/>
          <w:bCs w:val="0"/>
          <w:color w:val="auto"/>
          <w:spacing w:val="-6"/>
          <w:sz w:val="32"/>
          <w:szCs w:val="32"/>
          <w:u w:val="none"/>
          <w:lang w:val="en-US" w:eastAsia="zh-CN"/>
        </w:rPr>
        <w:t>推行“个转企”、“一件事”，支持“个转企”企业沿用原字号、成立日期与行业特点，依法享受小微企业税费政策。对符合条件企业返还稳岗补贴，按规定落实社保补贴、就业见习补贴。符合条件的“小升规”企业更名按规定免征契税、免收交易手续费。建立服务业准规上、易退库企业清单，实施自治区、盟市、旗县（市、区）三级联合帮扶培育，推动达规、达限服务业企业依法纳统，力争每年推动2000家服务业企业升规纳统。</w:t>
      </w:r>
      <w:r>
        <w:rPr>
          <w:rFonts w:hint="eastAsia" w:ascii="楷体" w:hAnsi="楷体" w:eastAsia="楷体" w:cs="楷体"/>
          <w:b w:val="0"/>
          <w:bCs w:val="0"/>
          <w:color w:val="auto"/>
          <w:spacing w:val="-6"/>
          <w:sz w:val="32"/>
          <w:szCs w:val="32"/>
          <w:u w:val="none"/>
          <w:lang w:val="en-US" w:eastAsia="zh-CN"/>
        </w:rPr>
        <w:t>（自治区工业和信息化厅、财政厅、人力资源社会保障厅、住房城乡建设厅、商务厅、市场监管局、统计局，内蒙古税务局等部门单位按职责分工负责）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（九）打造服务业名牌名品。</w:t>
      </w:r>
      <w:r>
        <w:rPr>
          <w:rFonts w:hint="eastAsia" w:ascii="仿宋" w:hAnsi="仿宋" w:eastAsia="仿宋" w:cs="仿宋"/>
          <w:b w:val="0"/>
          <w:bCs w:val="0"/>
          <w:color w:val="auto"/>
          <w:sz w:val="32"/>
          <w:szCs w:val="32"/>
          <w:u w:val="none"/>
          <w:lang w:val="en-US" w:eastAsia="zh-CN"/>
        </w:rPr>
        <w:t>鼓励服务业企业参评国内外权威榜单及荣誉评选，支持入选企业申报头部、高成长企业。加强商标注册管理与保护，完善跨部门跨区域知识产权执法协作、维权及争端解决机制，推进知识产权数据共享，推动商标品牌保护跨境协作。</w:t>
      </w:r>
      <w:r>
        <w:rPr>
          <w:rFonts w:hint="eastAsia" w:ascii="楷体" w:hAnsi="楷体" w:eastAsia="楷体" w:cs="楷体"/>
          <w:b w:val="0"/>
          <w:bCs w:val="0"/>
          <w:color w:val="auto"/>
          <w:sz w:val="32"/>
          <w:szCs w:val="32"/>
          <w:u w:val="none"/>
          <w:lang w:val="en-US" w:eastAsia="zh-CN"/>
        </w:rPr>
        <w:t>（自治区党委宣传部、市场监管局等部门单位按职责分工负责）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（十）加快培养引进服务业专业人才。</w:t>
      </w:r>
      <w:r>
        <w:rPr>
          <w:rFonts w:hint="eastAsia" w:ascii="仿宋" w:hAnsi="仿宋" w:eastAsia="仿宋" w:cs="仿宋"/>
          <w:b w:val="0"/>
          <w:bCs w:val="0"/>
          <w:color w:val="auto"/>
          <w:sz w:val="32"/>
          <w:szCs w:val="32"/>
          <w:u w:val="none"/>
          <w:lang w:val="en-US" w:eastAsia="zh-CN"/>
        </w:rPr>
        <w:t>落实“英才兴蒙”工程，拓宽服务业专业人才引进范围，建立服务业领域高层次人才信息库，做好人才服务保障工作。聚焦数字经济、绿色经济等重点领域和健康照护、养老护理等重点行业，深入实施“技能照亮前程”培训行动，积极开展补贴性职业技能培训。“十五五”时期，培训高技能人才15万人次。</w:t>
      </w:r>
      <w:r>
        <w:rPr>
          <w:rFonts w:hint="eastAsia" w:ascii="楷体" w:hAnsi="楷体" w:eastAsia="楷体" w:cs="楷体"/>
          <w:b w:val="0"/>
          <w:bCs w:val="0"/>
          <w:color w:val="auto"/>
          <w:sz w:val="32"/>
          <w:szCs w:val="32"/>
          <w:u w:val="none"/>
          <w:lang w:val="en-US" w:eastAsia="zh-CN"/>
        </w:rPr>
        <w:t>（自治区人力资源社会保障厅等部门单位按职责分工负责）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（十一）提升监管水平。</w:t>
      </w:r>
      <w:r>
        <w:rPr>
          <w:rFonts w:hint="eastAsia" w:ascii="仿宋" w:hAnsi="仿宋" w:eastAsia="仿宋" w:cs="仿宋"/>
          <w:b w:val="0"/>
          <w:bCs w:val="0"/>
          <w:color w:val="auto"/>
          <w:sz w:val="32"/>
          <w:szCs w:val="32"/>
          <w:u w:val="none"/>
          <w:lang w:val="en-US" w:eastAsia="zh-CN"/>
        </w:rPr>
        <w:t>规范涉企监管执法行为，降低信用优良服务业企业抽查频次。完善演出赛事、展览场所和旅游景点等人流聚集区安全管理制度，落实安全生产责任。规范餐饮服务经营行为，严守食品安全底线。坚决整治霸王条款、虚假宣传等</w:t>
      </w:r>
      <w:r>
        <w:rPr>
          <w:rFonts w:hint="eastAsia" w:ascii="仿宋" w:hAnsi="仿宋" w:eastAsia="仿宋" w:cs="仿宋"/>
          <w:b w:val="0"/>
          <w:bCs w:val="0"/>
          <w:color w:val="auto"/>
          <w:spacing w:val="-6"/>
          <w:sz w:val="32"/>
          <w:szCs w:val="32"/>
          <w:u w:val="none"/>
          <w:lang w:val="en-US" w:eastAsia="zh-CN"/>
        </w:rPr>
        <w:t>乱象，切实维护消费者权益。加强新就业形态劳动者权益保障。</w:t>
      </w:r>
      <w:r>
        <w:rPr>
          <w:rFonts w:hint="eastAsia" w:ascii="仿宋" w:hAnsi="仿宋" w:eastAsia="仿宋" w:cs="仿宋"/>
          <w:b w:val="0"/>
          <w:bCs w:val="0"/>
          <w:color w:val="auto"/>
          <w:sz w:val="32"/>
          <w:szCs w:val="32"/>
          <w:u w:val="none"/>
          <w:lang w:val="en-US" w:eastAsia="zh-CN"/>
        </w:rPr>
        <w:t>对特色街区、餐饮、夜经济区域周边临时停车实行柔性执法。综合运用提醒、约谈等方式引导企业守法经营。</w:t>
      </w:r>
      <w:r>
        <w:rPr>
          <w:rFonts w:hint="eastAsia" w:ascii="楷体" w:hAnsi="楷体" w:eastAsia="楷体" w:cs="楷体"/>
          <w:b w:val="0"/>
          <w:bCs w:val="0"/>
          <w:color w:val="auto"/>
          <w:sz w:val="32"/>
          <w:szCs w:val="32"/>
          <w:u w:val="none"/>
          <w:lang w:val="en-US" w:eastAsia="zh-CN"/>
        </w:rPr>
        <w:t>（自治区公安厅、人力资源社会保障厅、文化和旅游厅、市场监管局等部门单位按职责分工负责）</w:t>
      </w:r>
    </w:p>
    <w:p>
      <w:pPr>
        <w:keepNext w:val="0"/>
        <w:keepLines w:val="0"/>
        <w:pageBreakBefore w:val="0"/>
        <w:widowControl w:val="0"/>
        <w:suppressAutoHyphens/>
        <w:kinsoku/>
        <w:wordWrap/>
        <w:overflowPunct/>
        <w:topLinePunct/>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（十二）加强组织保障。</w:t>
      </w:r>
      <w:r>
        <w:rPr>
          <w:rFonts w:hint="eastAsia" w:ascii="仿宋" w:hAnsi="仿宋" w:eastAsia="仿宋" w:cs="仿宋"/>
          <w:b w:val="0"/>
          <w:bCs w:val="0"/>
          <w:color w:val="auto"/>
          <w:sz w:val="32"/>
          <w:szCs w:val="32"/>
          <w:u w:val="none"/>
          <w:lang w:val="en-US" w:eastAsia="zh-CN"/>
        </w:rPr>
        <w:t>各地区各部门单位要高度重视推进服务业扩能提质工作，主要负责同志要亲自部署、强化组织协调，配齐配强服务业发展专职工作队伍，健全上下贯通、权责明晰的服务业工作体系。发挥自治区服务业统筹发展协调机制作用，自治区发展改革委要牵头做好统筹协调与监测评估，加强服务业发展工作力量配备；自治区各相关部门单位要根据自身职责，明确目标任务、重点项目、责任分工和时间节点，做好要素保障，加强协同配合，形成工作合力，确保各项举措落地见效。各盟市要结合本地区实际，参照自治区工作模式，全面推进服务业扩能提质各项工作，强化上下联动、协同推进，加大重大项目谋划储备和前期工作推进力度，立足比较优势细化落实举措，推动服务业扩能提质各项工作取得实效。</w:t>
      </w:r>
      <w:r>
        <w:rPr>
          <w:rFonts w:hint="eastAsia" w:ascii="楷体" w:hAnsi="楷体" w:eastAsia="楷体" w:cs="楷体"/>
          <w:b w:val="0"/>
          <w:bCs w:val="0"/>
          <w:color w:val="auto"/>
          <w:sz w:val="32"/>
          <w:szCs w:val="32"/>
          <w:u w:val="none"/>
          <w:lang w:val="en-US" w:eastAsia="zh-CN"/>
        </w:rPr>
        <w:t>（自治区发展改革委、各部门单位，各盟行政公署、市人民政府按职责分工负责）</w:t>
      </w:r>
    </w:p>
    <w:p>
      <w:pPr>
        <w:keepNext w:val="0"/>
        <w:keepLines w:val="0"/>
        <w:pageBreakBefore w:val="0"/>
        <w:widowControl w:val="0"/>
        <w:kinsoku/>
        <w:wordWrap/>
        <w:overflowPunct/>
        <w:topLinePunct/>
        <w:autoSpaceDE/>
        <w:autoSpaceDN/>
        <w:bidi w:val="0"/>
        <w:adjustRightInd/>
        <w:snapToGrid/>
        <w:spacing w:line="580" w:lineRule="exact"/>
        <w:ind w:firstLine="600"/>
        <w:textAlignment w:val="auto"/>
        <w:rPr>
          <w:rFonts w:hint="eastAsia" w:ascii="方正仿宋简体" w:hAnsi="方正仿宋简体" w:eastAsia="方正仿宋简体" w:cs="方正仿宋简体"/>
          <w:sz w:val="32"/>
        </w:rPr>
      </w:pPr>
    </w:p>
    <w:p>
      <w:pPr>
        <w:pStyle w:val="2"/>
        <w:keepNext w:val="0"/>
        <w:keepLines w:val="0"/>
        <w:pageBreakBefore w:val="0"/>
        <w:widowControl w:val="0"/>
        <w:kinsoku/>
        <w:wordWrap/>
        <w:overflowPunct/>
        <w:topLinePunct/>
        <w:autoSpaceDE/>
        <w:autoSpaceDN/>
        <w:bidi w:val="0"/>
        <w:adjustRightInd/>
        <w:snapToGrid/>
        <w:spacing w:line="580" w:lineRule="exact"/>
        <w:textAlignment w:val="auto"/>
        <w:rPr>
          <w:rFonts w:hint="eastAsia" w:eastAsia="仿宋_GB2312"/>
          <w:sz w:val="32"/>
        </w:rPr>
      </w:pPr>
    </w:p>
    <w:p>
      <w:pPr>
        <w:pStyle w:val="3"/>
        <w:keepNext w:val="0"/>
        <w:keepLines w:val="0"/>
        <w:pageBreakBefore w:val="0"/>
        <w:widowControl w:val="0"/>
        <w:kinsoku/>
        <w:wordWrap/>
        <w:overflowPunct/>
        <w:topLinePunct/>
        <w:autoSpaceDE/>
        <w:autoSpaceDN/>
        <w:bidi w:val="0"/>
        <w:adjustRightInd/>
        <w:snapToGrid/>
        <w:spacing w:line="580" w:lineRule="exact"/>
        <w:textAlignment w:val="auto"/>
        <w:rPr>
          <w:rFonts w:hint="eastAsia" w:eastAsia="仿宋_GB2312"/>
          <w:sz w:val="32"/>
        </w:rPr>
      </w:pPr>
    </w:p>
    <w:p>
      <w:pPr>
        <w:pStyle w:val="4"/>
        <w:keepNext w:val="0"/>
        <w:keepLines w:val="0"/>
        <w:pageBreakBefore w:val="0"/>
        <w:widowControl w:val="0"/>
        <w:kinsoku/>
        <w:wordWrap/>
        <w:overflowPunct/>
        <w:topLinePunct/>
        <w:autoSpaceDE/>
        <w:autoSpaceDN/>
        <w:bidi w:val="0"/>
        <w:adjustRightInd/>
        <w:snapToGrid/>
        <w:spacing w:line="580" w:lineRule="exact"/>
        <w:textAlignment w:val="auto"/>
        <w:rPr>
          <w:rFonts w:hint="eastAsia"/>
        </w:rPr>
      </w:pPr>
    </w:p>
    <w:p>
      <w:pPr>
        <w:pStyle w:val="2"/>
        <w:keepNext w:val="0"/>
        <w:keepLines w:val="0"/>
        <w:pageBreakBefore w:val="0"/>
        <w:widowControl w:val="0"/>
        <w:kinsoku/>
        <w:wordWrap/>
        <w:overflowPunct/>
        <w:topLinePunct/>
        <w:autoSpaceDE/>
        <w:autoSpaceDN/>
        <w:bidi w:val="0"/>
        <w:adjustRightInd/>
        <w:snapToGrid/>
        <w:spacing w:line="580" w:lineRule="exact"/>
        <w:jc w:val="both"/>
        <w:textAlignment w:val="auto"/>
        <w:rPr>
          <w:rFonts w:hint="eastAsia" w:eastAsia="仿宋_GB2312"/>
          <w:sz w:val="32"/>
        </w:rPr>
      </w:pPr>
    </w:p>
    <w:p>
      <w:pPr>
        <w:pStyle w:val="3"/>
        <w:keepNext w:val="0"/>
        <w:keepLines w:val="0"/>
        <w:pageBreakBefore w:val="0"/>
        <w:widowControl w:val="0"/>
        <w:kinsoku/>
        <w:wordWrap/>
        <w:overflowPunct/>
        <w:topLinePunct/>
        <w:autoSpaceDE/>
        <w:autoSpaceDN/>
        <w:bidi w:val="0"/>
        <w:adjustRightInd/>
        <w:snapToGrid/>
        <w:spacing w:line="580" w:lineRule="exact"/>
        <w:textAlignment w:val="auto"/>
        <w:rPr>
          <w:rFonts w:hint="eastAsia" w:eastAsia="仿宋_GB2312"/>
          <w:sz w:val="32"/>
        </w:rPr>
      </w:pPr>
    </w:p>
    <w:p>
      <w:pPr>
        <w:pStyle w:val="4"/>
        <w:keepNext w:val="0"/>
        <w:keepLines w:val="0"/>
        <w:pageBreakBefore w:val="0"/>
        <w:widowControl w:val="0"/>
        <w:kinsoku/>
        <w:wordWrap/>
        <w:overflowPunct/>
        <w:topLinePunct/>
        <w:autoSpaceDE/>
        <w:autoSpaceDN/>
        <w:bidi w:val="0"/>
        <w:adjustRightInd/>
        <w:snapToGrid/>
        <w:spacing w:line="580" w:lineRule="exact"/>
        <w:textAlignment w:val="auto"/>
        <w:rPr>
          <w:rFonts w:hint="eastAsia" w:eastAsia="仿宋_GB2312"/>
          <w:sz w:val="32"/>
        </w:rPr>
      </w:pPr>
    </w:p>
    <w:p>
      <w:pPr>
        <w:keepNext w:val="0"/>
        <w:keepLines w:val="0"/>
        <w:pageBreakBefore w:val="0"/>
        <w:widowControl w:val="0"/>
        <w:kinsoku/>
        <w:wordWrap/>
        <w:overflowPunct/>
        <w:topLinePunct/>
        <w:autoSpaceDE/>
        <w:autoSpaceDN/>
        <w:bidi w:val="0"/>
        <w:adjustRightInd/>
        <w:snapToGrid/>
        <w:spacing w:line="580" w:lineRule="exact"/>
        <w:textAlignment w:val="auto"/>
        <w:rPr>
          <w:rFonts w:hint="eastAsia" w:eastAsia="仿宋_GB2312"/>
          <w:sz w:val="32"/>
        </w:rPr>
      </w:pPr>
    </w:p>
    <w:p>
      <w:pPr>
        <w:pStyle w:val="2"/>
        <w:keepNext w:val="0"/>
        <w:keepLines w:val="0"/>
        <w:pageBreakBefore w:val="0"/>
        <w:widowControl w:val="0"/>
        <w:kinsoku/>
        <w:wordWrap/>
        <w:overflowPunct/>
        <w:topLinePunct/>
        <w:autoSpaceDE/>
        <w:autoSpaceDN/>
        <w:bidi w:val="0"/>
        <w:jc w:val="both"/>
        <w:textAlignment w:val="auto"/>
        <w:rPr>
          <w:rFonts w:hint="eastAsia"/>
        </w:rPr>
      </w:pPr>
    </w:p>
    <w:p>
      <w:pPr>
        <w:pStyle w:val="8"/>
        <w:keepNext w:val="0"/>
        <w:keepLines w:val="0"/>
        <w:pageBreakBefore w:val="0"/>
        <w:widowControl w:val="0"/>
        <w:tabs>
          <w:tab w:val="left" w:pos="7560"/>
        </w:tabs>
        <w:kinsoku/>
        <w:wordWrap/>
        <w:overflowPunct/>
        <w:topLinePunct/>
        <w:autoSpaceDE/>
        <w:autoSpaceDN/>
        <w:bidi w:val="0"/>
        <w:ind w:left="4520" w:leftChars="2058" w:hanging="198" w:hangingChars="62"/>
        <w:jc w:val="right"/>
        <w:textAlignment w:val="auto"/>
        <w:rPr>
          <w:rFonts w:hint="eastAsia" w:ascii="黑体" w:eastAsia="黑体"/>
        </w:rPr>
      </w:pPr>
      <w:r>
        <w:rPr>
          <w:rFonts w:hint="eastAsia" w:ascii="黑体" w:eastAsia="黑体"/>
        </w:rPr>
        <w:t xml:space="preserve">        </w:t>
      </w:r>
    </w:p>
    <w:tbl>
      <w:tblPr>
        <w:tblStyle w:val="13"/>
        <w:tblW w:w="8968" w:type="dxa"/>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968"/>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8968" w:type="dxa"/>
            <w:tcBorders>
              <w:tl2br w:val="nil"/>
              <w:tr2bl w:val="nil"/>
            </w:tcBorders>
            <w:noWrap w:val="0"/>
            <w:vAlign w:val="top"/>
          </w:tcPr>
          <w:p>
            <w:pPr>
              <w:keepNext w:val="0"/>
              <w:keepLines w:val="0"/>
              <w:pageBreakBefore w:val="0"/>
              <w:widowControl w:val="0"/>
              <w:kinsoku/>
              <w:wordWrap/>
              <w:overflowPunct/>
              <w:topLinePunct/>
              <w:autoSpaceDE/>
              <w:autoSpaceDN/>
              <w:bidi w:val="0"/>
              <w:spacing w:line="400" w:lineRule="exact"/>
              <w:ind w:firstLine="280" w:firstLineChars="100"/>
              <w:textAlignment w:val="auto"/>
              <w:rPr>
                <w:rFonts w:hint="eastAsia" w:ascii="仿宋" w:hAnsi="仿宋" w:eastAsia="仿宋" w:cs="仿宋"/>
                <w:sz w:val="28"/>
              </w:rPr>
            </w:pPr>
            <w:r>
              <w:rPr>
                <w:rFonts w:hint="eastAsia" w:ascii="仿宋" w:hAnsi="仿宋" w:eastAsia="仿宋" w:cs="仿宋"/>
                <w:sz w:val="28"/>
              </w:rPr>
              <w:t>抄送：自治区党委各部门，内蒙古军区，武警内蒙古总队。</w:t>
            </w:r>
          </w:p>
          <w:p>
            <w:pPr>
              <w:keepNext w:val="0"/>
              <w:keepLines w:val="0"/>
              <w:pageBreakBefore w:val="0"/>
              <w:widowControl w:val="0"/>
              <w:kinsoku/>
              <w:wordWrap/>
              <w:overflowPunct/>
              <w:topLinePunct/>
              <w:autoSpaceDE/>
              <w:autoSpaceDN/>
              <w:bidi w:val="0"/>
              <w:spacing w:line="400" w:lineRule="exact"/>
              <w:textAlignment w:val="auto"/>
              <w:rPr>
                <w:rFonts w:hint="eastAsia" w:ascii="仿宋" w:hAnsi="仿宋" w:eastAsia="仿宋" w:cs="仿宋"/>
                <w:sz w:val="28"/>
                <w:lang w:eastAsia="zh-CN"/>
              </w:rPr>
            </w:pPr>
            <w:r>
              <w:rPr>
                <w:rFonts w:hint="eastAsia" w:ascii="仿宋" w:hAnsi="仿宋" w:eastAsia="仿宋" w:cs="仿宋"/>
                <w:sz w:val="28"/>
                <w:lang w:val="en-US" w:eastAsia="zh-CN"/>
              </w:rPr>
              <w:t xml:space="preserve">        </w:t>
            </w:r>
            <w:r>
              <w:rPr>
                <w:rFonts w:hint="eastAsia" w:ascii="仿宋" w:hAnsi="仿宋" w:eastAsia="仿宋" w:cs="仿宋"/>
                <w:sz w:val="28"/>
              </w:rPr>
              <w:t>自治区人大常委会办公厅</w:t>
            </w:r>
            <w:r>
              <w:rPr>
                <w:rFonts w:hint="eastAsia" w:ascii="仿宋" w:hAnsi="仿宋" w:eastAsia="仿宋" w:cs="仿宋"/>
                <w:sz w:val="28"/>
                <w:lang w:eastAsia="zh-CN"/>
              </w:rPr>
              <w:t>，自治区</w:t>
            </w:r>
            <w:r>
              <w:rPr>
                <w:rFonts w:hint="eastAsia" w:ascii="仿宋" w:hAnsi="仿宋" w:eastAsia="仿宋" w:cs="仿宋"/>
                <w:sz w:val="28"/>
              </w:rPr>
              <w:t>政协办公厅，</w:t>
            </w:r>
            <w:r>
              <w:rPr>
                <w:rFonts w:hint="eastAsia" w:ascii="仿宋" w:hAnsi="仿宋" w:eastAsia="仿宋" w:cs="仿宋"/>
                <w:sz w:val="28"/>
                <w:lang w:eastAsia="zh-CN"/>
              </w:rPr>
              <w:t>自治区监委，</w:t>
            </w:r>
          </w:p>
          <w:p>
            <w:pPr>
              <w:keepNext w:val="0"/>
              <w:keepLines w:val="0"/>
              <w:pageBreakBefore w:val="0"/>
              <w:widowControl w:val="0"/>
              <w:kinsoku/>
              <w:wordWrap/>
              <w:overflowPunct/>
              <w:topLinePunct/>
              <w:autoSpaceDE/>
              <w:autoSpaceDN/>
              <w:bidi w:val="0"/>
              <w:spacing w:line="400" w:lineRule="exact"/>
              <w:textAlignment w:val="auto"/>
              <w:rPr>
                <w:rFonts w:hint="eastAsia" w:ascii="仿宋" w:hAnsi="仿宋" w:eastAsia="仿宋" w:cs="仿宋"/>
                <w:sz w:val="28"/>
              </w:rPr>
            </w:pPr>
            <w:r>
              <w:rPr>
                <w:rFonts w:hint="eastAsia" w:ascii="仿宋" w:hAnsi="仿宋" w:eastAsia="仿宋" w:cs="仿宋"/>
                <w:sz w:val="28"/>
                <w:lang w:val="en-US" w:eastAsia="zh-CN"/>
              </w:rPr>
              <w:t xml:space="preserve">        </w:t>
            </w:r>
            <w:r>
              <w:rPr>
                <w:rFonts w:hint="eastAsia" w:ascii="仿宋" w:hAnsi="仿宋" w:eastAsia="仿宋" w:cs="仿宋"/>
                <w:sz w:val="28"/>
                <w:lang w:eastAsia="zh-CN"/>
              </w:rPr>
              <w:t>自治区高</w:t>
            </w:r>
            <w:r>
              <w:rPr>
                <w:rFonts w:hint="eastAsia" w:ascii="仿宋" w:hAnsi="仿宋" w:eastAsia="仿宋" w:cs="仿宋"/>
                <w:sz w:val="28"/>
              </w:rPr>
              <w:t>级人民法院，</w:t>
            </w:r>
            <w:r>
              <w:rPr>
                <w:rFonts w:hint="eastAsia" w:ascii="仿宋" w:hAnsi="仿宋" w:eastAsia="仿宋" w:cs="仿宋"/>
                <w:sz w:val="28"/>
                <w:lang w:eastAsia="zh-CN"/>
              </w:rPr>
              <w:t>自治区人民</w:t>
            </w:r>
            <w:r>
              <w:rPr>
                <w:rFonts w:hint="eastAsia" w:ascii="仿宋" w:hAnsi="仿宋" w:eastAsia="仿宋" w:cs="仿宋"/>
                <w:sz w:val="28"/>
              </w:rPr>
              <w:t>检察院。</w:t>
            </w:r>
          </w:p>
          <w:p>
            <w:pPr>
              <w:keepNext w:val="0"/>
              <w:keepLines w:val="0"/>
              <w:pageBreakBefore w:val="0"/>
              <w:widowControl w:val="0"/>
              <w:kinsoku/>
              <w:wordWrap/>
              <w:overflowPunct/>
              <w:topLinePunct/>
              <w:autoSpaceDE/>
              <w:autoSpaceDN/>
              <w:bidi w:val="0"/>
              <w:spacing w:line="400" w:lineRule="exact"/>
              <w:ind w:firstLine="1148" w:firstLineChars="410"/>
              <w:textAlignment w:val="auto"/>
              <w:rPr>
                <w:rFonts w:hint="eastAsia" w:ascii="仿宋" w:hAnsi="仿宋" w:eastAsia="仿宋" w:cs="仿宋"/>
                <w:sz w:val="28"/>
              </w:rPr>
            </w:pPr>
            <w:r>
              <w:rPr>
                <w:rFonts w:hint="eastAsia" w:ascii="仿宋" w:hAnsi="仿宋" w:eastAsia="仿宋" w:cs="仿宋"/>
                <w:sz w:val="28"/>
                <w:lang w:eastAsia="zh-CN"/>
              </w:rPr>
              <w:t>各民主党派区委会，</w:t>
            </w:r>
            <w:r>
              <w:rPr>
                <w:rFonts w:hint="eastAsia" w:ascii="仿宋" w:hAnsi="仿宋" w:eastAsia="仿宋" w:cs="仿宋"/>
                <w:sz w:val="28"/>
              </w:rPr>
              <w:t>各人民团体，新闻单位。</w:t>
            </w:r>
          </w:p>
        </w:tc>
      </w:tr>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8968" w:type="dxa"/>
            <w:tcBorders>
              <w:tl2br w:val="nil"/>
              <w:tr2bl w:val="nil"/>
            </w:tcBorders>
            <w:noWrap w:val="0"/>
            <w:vAlign w:val="top"/>
          </w:tcPr>
          <w:p>
            <w:pPr>
              <w:keepNext w:val="0"/>
              <w:keepLines w:val="0"/>
              <w:pageBreakBefore w:val="0"/>
              <w:widowControl w:val="0"/>
              <w:kinsoku/>
              <w:wordWrap/>
              <w:overflowPunct/>
              <w:topLinePunct/>
              <w:autoSpaceDE/>
              <w:autoSpaceDN/>
              <w:bidi w:val="0"/>
              <w:ind w:firstLine="280" w:firstLineChars="100"/>
              <w:textAlignment w:val="auto"/>
              <w:rPr>
                <w:rFonts w:hint="eastAsia" w:ascii="仿宋" w:hAnsi="仿宋" w:eastAsia="仿宋" w:cs="仿宋"/>
                <w:sz w:val="28"/>
              </w:rPr>
            </w:pPr>
            <w:r>
              <w:rPr>
                <w:rFonts w:hint="eastAsia" w:ascii="仿宋" w:hAnsi="仿宋" w:eastAsia="仿宋" w:cs="仿宋"/>
                <w:sz w:val="28"/>
              </w:rPr>
              <w:t xml:space="preserve">内蒙古自治区人民政府办公厅文电处   </w:t>
            </w:r>
            <w:r>
              <w:rPr>
                <w:rFonts w:hint="eastAsia" w:ascii="仿宋" w:hAnsi="仿宋" w:eastAsia="仿宋" w:cs="仿宋"/>
                <w:sz w:val="28"/>
                <w:lang w:val="en-US" w:eastAsia="zh-CN"/>
              </w:rPr>
              <w:t xml:space="preserve">   </w:t>
            </w:r>
            <w:r>
              <w:rPr>
                <w:rFonts w:hint="eastAsia" w:ascii="仿宋" w:hAnsi="仿宋" w:eastAsia="仿宋" w:cs="仿宋"/>
                <w:sz w:val="28"/>
              </w:rPr>
              <w:t xml:space="preserve"> 202</w:t>
            </w:r>
            <w:r>
              <w:rPr>
                <w:rFonts w:hint="eastAsia" w:ascii="仿宋" w:hAnsi="仿宋" w:eastAsia="仿宋" w:cs="仿宋"/>
                <w:sz w:val="28"/>
                <w:lang w:val="en-US" w:eastAsia="zh-CN"/>
              </w:rPr>
              <w:t>6</w:t>
            </w:r>
            <w:r>
              <w:rPr>
                <w:rFonts w:hint="eastAsia" w:ascii="仿宋" w:hAnsi="仿宋" w:eastAsia="仿宋" w:cs="仿宋"/>
                <w:sz w:val="28"/>
              </w:rPr>
              <w:t>年</w:t>
            </w:r>
            <w:r>
              <w:rPr>
                <w:rFonts w:hint="eastAsia" w:ascii="仿宋" w:hAnsi="仿宋" w:eastAsia="仿宋" w:cs="仿宋"/>
                <w:sz w:val="28"/>
                <w:lang w:val="en-US" w:eastAsia="zh-CN"/>
              </w:rPr>
              <w:t>6</w:t>
            </w:r>
            <w:r>
              <w:rPr>
                <w:rFonts w:hint="eastAsia" w:ascii="仿宋" w:hAnsi="仿宋" w:eastAsia="仿宋" w:cs="仿宋"/>
                <w:sz w:val="28"/>
              </w:rPr>
              <w:t>月</w:t>
            </w:r>
            <w:r>
              <w:rPr>
                <w:rFonts w:hint="eastAsia" w:ascii="仿宋" w:hAnsi="仿宋" w:eastAsia="仿宋" w:cs="仿宋"/>
                <w:sz w:val="28"/>
                <w:lang w:val="en-US" w:eastAsia="zh-CN"/>
              </w:rPr>
              <w:t>24</w:t>
            </w:r>
            <w:r>
              <w:rPr>
                <w:rFonts w:hint="eastAsia" w:ascii="仿宋" w:hAnsi="仿宋" w:eastAsia="仿宋" w:cs="仿宋"/>
                <w:sz w:val="28"/>
              </w:rPr>
              <w:t>日印发</w:t>
            </w:r>
          </w:p>
        </w:tc>
      </w:tr>
    </w:tbl>
    <w:p>
      <w:pPr>
        <w:keepNext w:val="0"/>
        <w:keepLines w:val="0"/>
        <w:pageBreakBefore w:val="0"/>
        <w:widowControl w:val="0"/>
        <w:kinsoku/>
        <w:wordWrap/>
        <w:overflowPunct/>
        <w:topLinePunct/>
        <w:autoSpaceDE/>
        <w:autoSpaceDN/>
        <w:bidi w:val="0"/>
        <w:spacing w:line="20" w:lineRule="exact"/>
        <w:textAlignment w:val="auto"/>
        <w:rPr>
          <w:rFonts w:hint="eastAsia"/>
        </w:rPr>
      </w:pPr>
      <w:r>
        <w:rPr>
          <w:rFonts w:ascii="宋体" w:hAnsi="宋体" w:cs="宋体"/>
          <w:kern w:val="0"/>
          <w:sz w:val="24"/>
          <w:lang/>
        </w:rPr>
        <mc:AlternateContent>
          <mc:Choice Requires="wps">
            <w:drawing>
              <wp:anchor distT="0" distB="0" distL="114300" distR="114300" simplePos="0" relativeHeight="251658240" behindDoc="0" locked="0" layoutInCell="1" allowOverlap="1">
                <wp:simplePos x="0" y="0"/>
                <wp:positionH relativeFrom="margin">
                  <wp:posOffset>3654425</wp:posOffset>
                </wp:positionH>
                <wp:positionV relativeFrom="margin">
                  <wp:posOffset>8227060</wp:posOffset>
                </wp:positionV>
                <wp:extent cx="1943100" cy="891540"/>
                <wp:effectExtent l="0" t="0" r="0" b="3810"/>
                <wp:wrapNone/>
                <wp:docPr id="1" name="Text Box 5"/>
                <wp:cNvGraphicFramePr/>
                <a:graphic xmlns:a="http://schemas.openxmlformats.org/drawingml/2006/main">
                  <a:graphicData uri="http://schemas.microsoft.com/office/word/2010/wordprocessingShape">
                    <wps:wsp>
                      <wps:cNvSpPr txBox="1"/>
                      <wps:spPr>
                        <a:xfrm>
                          <a:off x="0" y="0"/>
                          <a:ext cx="1943100" cy="891540"/>
                        </a:xfrm>
                        <a:prstGeom prst="rect">
                          <a:avLst/>
                        </a:prstGeom>
                        <a:solidFill>
                          <a:srgbClr val="FFFFFF"/>
                        </a:solidFill>
                        <a:ln>
                          <a:noFill/>
                        </a:ln>
                      </wps:spPr>
                      <wps:txbx>
                        <w:txbxContent>
                          <w:p>
                            <w:pPr>
                              <w:rPr>
                                <w:rFonts w:hint="eastAsia" w:eastAsia="宋体"/>
                                <w:sz w:val="52"/>
                                <w:szCs w:val="52"/>
                                <w:lang w:eastAsia="zh-CN"/>
                              </w:rPr>
                            </w:pPr>
                            <w:bookmarkStart w:id="0" w:name="二维条码"/>
                            <w:bookmarkEnd w:id="0"/>
                            <w:r>
                              <w:rPr>
                                <w:rFonts w:hint="eastAsia" w:eastAsia="宋体"/>
                                <w:sz w:val="52"/>
                                <w:szCs w:val="52"/>
                                <w:lang w:eastAsia="zh-CN"/>
                              </w:rPr>
                              <w:drawing>
                                <wp:inline distT="0" distB="0" distL="114300" distR="114300">
                                  <wp:extent cx="1758315" cy="499110"/>
                                  <wp:effectExtent l="0" t="0" r="13335" b="15240"/>
                                  <wp:docPr id="2" name="图片 3" descr="C:\Users\Administrator.WIN-OVGUSULTFN3\Desktop\NZF17.jpgNZF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Administrator.WIN-OVGUSULTFN3\Desktop\NZF17.jpgNZF17"/>
                                          <pic:cNvPicPr>
                                            <a:picLocks noChangeAspect="1"/>
                                          </pic:cNvPicPr>
                                        </pic:nvPicPr>
                                        <pic:blipFill>
                                          <a:blip r:embed="rId8"/>
                                          <a:stretch>
                                            <a:fillRect/>
                                          </a:stretch>
                                        </pic:blipFill>
                                        <pic:spPr>
                                          <a:xfrm>
                                            <a:off x="0" y="0"/>
                                            <a:ext cx="1758315" cy="499110"/>
                                          </a:xfrm>
                                          <a:prstGeom prst="rect">
                                            <a:avLst/>
                                          </a:prstGeom>
                                          <a:noFill/>
                                          <a:ln>
                                            <a:noFill/>
                                          </a:ln>
                                        </pic:spPr>
                                      </pic:pic>
                                    </a:graphicData>
                                  </a:graphic>
                                </wp:inline>
                              </w:drawing>
                            </w:r>
                          </w:p>
                        </w:txbxContent>
                      </wps:txbx>
                      <wps:bodyPr vert="horz" wrap="none" anchor="t" anchorCtr="0" upright="1">
                        <a:spAutoFit/>
                      </wps:bodyPr>
                    </wps:wsp>
                  </a:graphicData>
                </a:graphic>
              </wp:anchor>
            </w:drawing>
          </mc:Choice>
          <mc:Fallback>
            <w:pict>
              <v:shape id="Text Box 5" o:spid="_x0000_s1026" o:spt="202" type="#_x0000_t202" style="position:absolute;left:0pt;margin-left:287.75pt;margin-top:647.8pt;height:70.2pt;width:153pt;mso-position-horizontal-relative:margin;mso-position-vertical-relative:margin;mso-wrap-style:none;z-index:251658240;mso-width-relative:page;mso-height-relative:page;" fillcolor="#FFFFFF" filled="t" stroked="f" coordsize="21600,21600" o:gfxdata="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lqbwF2wAAAA0BAAAPAAAAAAAAAAEAIAAAACIAAABkcnMvZG93bnJldi54&#10;bWxQSwECFAAUAAAACACHTuJAeOlH4r4BAABzAwAADgAAAAAAAAABACAAAAAqAQAAZHJzL2Uyb0Rv&#10;Yy54bWxQSwUGAAAAAAYABgBZAQAAWgUAAAAA&#10;">
                <v:fill on="t" focussize="0,0"/>
                <v:stroke on="f"/>
                <v:imagedata o:title=""/>
                <o:lock v:ext="edit" aspectratio="f"/>
                <v:textbox style="mso-fit-shape-to-text:t;">
                  <w:txbxContent>
                    <w:p>
                      <w:pPr>
                        <w:rPr>
                          <w:rFonts w:hint="eastAsia" w:eastAsia="宋体"/>
                          <w:sz w:val="52"/>
                          <w:szCs w:val="52"/>
                          <w:lang w:eastAsia="zh-CN"/>
                        </w:rPr>
                      </w:pPr>
                      <w:bookmarkStart w:id="0" w:name="二维条码"/>
                      <w:bookmarkEnd w:id="0"/>
                      <w:r>
                        <w:rPr>
                          <w:rFonts w:hint="eastAsia" w:eastAsia="宋体"/>
                          <w:sz w:val="52"/>
                          <w:szCs w:val="52"/>
                          <w:lang w:eastAsia="zh-CN"/>
                        </w:rPr>
                        <w:drawing>
                          <wp:inline distT="0" distB="0" distL="114300" distR="114300">
                            <wp:extent cx="1758315" cy="499110"/>
                            <wp:effectExtent l="0" t="0" r="13335" b="15240"/>
                            <wp:docPr id="2" name="图片 3" descr="C:\Users\Administrator.WIN-OVGUSULTFN3\Desktop\NZF17.jpgNZF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Administrator.WIN-OVGUSULTFN3\Desktop\NZF17.jpgNZF17"/>
                                    <pic:cNvPicPr>
                                      <a:picLocks noChangeAspect="1"/>
                                    </pic:cNvPicPr>
                                  </pic:nvPicPr>
                                  <pic:blipFill>
                                    <a:blip r:embed="rId8"/>
                                    <a:stretch>
                                      <a:fillRect/>
                                    </a:stretch>
                                  </pic:blipFill>
                                  <pic:spPr>
                                    <a:xfrm>
                                      <a:off x="0" y="0"/>
                                      <a:ext cx="1758315" cy="499110"/>
                                    </a:xfrm>
                                    <a:prstGeom prst="rect">
                                      <a:avLst/>
                                    </a:prstGeom>
                                    <a:noFill/>
                                    <a:ln>
                                      <a:noFill/>
                                    </a:ln>
                                  </pic:spPr>
                                </pic:pic>
                              </a:graphicData>
                            </a:graphic>
                          </wp:inline>
                        </w:drawing>
                      </w:r>
                    </w:p>
                  </w:txbxContent>
                </v:textbox>
              </v:shape>
            </w:pict>
          </mc:Fallback>
        </mc:AlternateContent>
      </w:r>
    </w:p>
    <w:sectPr>
      <w:headerReference r:id="rId3" w:type="default"/>
      <w:footerReference r:id="rId5" w:type="default"/>
      <w:headerReference r:id="rId4" w:type="even"/>
      <w:footerReference r:id="rId6" w:type="even"/>
      <w:pgSz w:w="11906" w:h="16838"/>
      <w:pgMar w:top="2098" w:right="1474" w:bottom="1701" w:left="1474" w:header="851" w:footer="1304" w:gutter="0"/>
      <w:paperSrc/>
      <w:pgBorders>
        <w:top w:val="none" w:sz="0" w:space="0"/>
        <w:left w:val="none" w:sz="0" w:space="0"/>
        <w:bottom w:val="none" w:sz="0" w:space="0"/>
        <w:right w:val="none" w:sz="0" w:space="0"/>
      </w:pgBorders>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Liberation Sans">
    <w:altName w:val="Noto Sans SC"/>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30000003" w:usb1="2BDF3C10" w:usb2="00000016" w:usb3="00000000" w:csb0="602E0107" w:csb1="00000000"/>
  </w:font>
  <w:font w:name="华文仿宋">
    <w:altName w:val="方正仿宋_GBK"/>
    <w:panose1 w:val="02010600040101010101"/>
    <w:charset w:val="00"/>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page" w:x="9452" w:y="-23"/>
      <w:rPr>
        <w:rStyle w:val="16"/>
        <w:rFonts w:hint="eastAsia" w:ascii="宋体" w:hAnsi="宋体"/>
        <w:sz w:val="28"/>
        <w:szCs w:val="28"/>
      </w:rPr>
    </w:pPr>
    <w:r>
      <w:rPr>
        <w:rFonts w:hint="eastAsia" w:ascii="宋体" w:hAnsi="宋体"/>
        <w:sz w:val="28"/>
        <w:szCs w:val="28"/>
      </w:rPr>
      <w:fldChar w:fldCharType="begin"/>
    </w:r>
    <w:r>
      <w:rPr>
        <w:rStyle w:val="16"/>
        <w:rFonts w:hint="eastAsia" w:ascii="宋体" w:hAnsi="宋体"/>
        <w:sz w:val="28"/>
        <w:szCs w:val="28"/>
      </w:rPr>
      <w:instrText xml:space="preserve">PAGE  </w:instrText>
    </w:r>
    <w:r>
      <w:rPr>
        <w:rFonts w:hint="eastAsia" w:ascii="宋体" w:hAnsi="宋体"/>
        <w:sz w:val="28"/>
        <w:szCs w:val="28"/>
      </w:rPr>
      <w:fldChar w:fldCharType="separate"/>
    </w:r>
    <w:r>
      <w:rPr>
        <w:rStyle w:val="16"/>
        <w:rFonts w:ascii="宋体" w:hAnsi="宋体"/>
        <w:sz w:val="28"/>
        <w:szCs w:val="28"/>
        <w:lang/>
      </w:rPr>
      <w:t>- 1 -</w:t>
    </w:r>
    <w:r>
      <w:rPr>
        <w:rFonts w:hint="eastAsia" w:ascii="宋体" w:hAnsi="宋体"/>
        <w:sz w:val="28"/>
        <w:szCs w:val="28"/>
      </w:rPr>
      <w:fldChar w:fldCharType="end"/>
    </w:r>
  </w:p>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page" w:x="1892" w:y="-23"/>
      <w:rPr>
        <w:rStyle w:val="16"/>
        <w:rFonts w:ascii="宋体" w:hAnsi="宋体"/>
        <w:sz w:val="28"/>
        <w:szCs w:val="28"/>
      </w:rPr>
    </w:pPr>
    <w:r>
      <w:rPr>
        <w:rFonts w:ascii="宋体" w:hAnsi="宋体"/>
        <w:sz w:val="28"/>
        <w:szCs w:val="28"/>
      </w:rPr>
      <w:fldChar w:fldCharType="begin"/>
    </w:r>
    <w:r>
      <w:rPr>
        <w:rStyle w:val="16"/>
        <w:rFonts w:ascii="宋体" w:hAnsi="宋体"/>
        <w:sz w:val="28"/>
        <w:szCs w:val="28"/>
      </w:rPr>
      <w:instrText xml:space="preserve">PAGE  </w:instrText>
    </w:r>
    <w:r>
      <w:rPr>
        <w:rFonts w:ascii="宋体" w:hAnsi="宋体"/>
        <w:sz w:val="28"/>
        <w:szCs w:val="28"/>
      </w:rPr>
      <w:fldChar w:fldCharType="separate"/>
    </w:r>
    <w:r>
      <w:rPr>
        <w:rStyle w:val="16"/>
        <w:rFonts w:ascii="宋体" w:hAnsi="宋体"/>
        <w:sz w:val="28"/>
        <w:szCs w:val="28"/>
        <w:lang/>
      </w:rPr>
      <w:t>- 2 -</w:t>
    </w:r>
    <w:r>
      <w:rPr>
        <w:rFonts w:ascii="宋体" w:hAnsi="宋体"/>
        <w:sz w:val="28"/>
        <w:szCs w:val="28"/>
      </w:rPr>
      <w:fldChar w:fldCharType="end"/>
    </w:r>
  </w:p>
  <w:p>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0053B"/>
    <w:rsid w:val="00000BC8"/>
    <w:rsid w:val="00000D35"/>
    <w:rsid w:val="00000E8A"/>
    <w:rsid w:val="00001A5E"/>
    <w:rsid w:val="0001025F"/>
    <w:rsid w:val="00010E72"/>
    <w:rsid w:val="00010FBD"/>
    <w:rsid w:val="000134B5"/>
    <w:rsid w:val="0001572E"/>
    <w:rsid w:val="0001671F"/>
    <w:rsid w:val="0001751F"/>
    <w:rsid w:val="00017973"/>
    <w:rsid w:val="00017C56"/>
    <w:rsid w:val="00017C8E"/>
    <w:rsid w:val="00021290"/>
    <w:rsid w:val="000228A4"/>
    <w:rsid w:val="00024FC9"/>
    <w:rsid w:val="0002517C"/>
    <w:rsid w:val="00025291"/>
    <w:rsid w:val="0003004C"/>
    <w:rsid w:val="000305B6"/>
    <w:rsid w:val="00031020"/>
    <w:rsid w:val="0003284C"/>
    <w:rsid w:val="00036CC9"/>
    <w:rsid w:val="00037A1D"/>
    <w:rsid w:val="0004119F"/>
    <w:rsid w:val="00041495"/>
    <w:rsid w:val="00043109"/>
    <w:rsid w:val="00043BA4"/>
    <w:rsid w:val="00045126"/>
    <w:rsid w:val="00047737"/>
    <w:rsid w:val="0005120B"/>
    <w:rsid w:val="00053149"/>
    <w:rsid w:val="00055C21"/>
    <w:rsid w:val="00056556"/>
    <w:rsid w:val="00060597"/>
    <w:rsid w:val="00060CE0"/>
    <w:rsid w:val="000615CF"/>
    <w:rsid w:val="0006347A"/>
    <w:rsid w:val="000671EE"/>
    <w:rsid w:val="00070196"/>
    <w:rsid w:val="000701C3"/>
    <w:rsid w:val="00071DE3"/>
    <w:rsid w:val="00071E83"/>
    <w:rsid w:val="0007324B"/>
    <w:rsid w:val="00074623"/>
    <w:rsid w:val="00076F96"/>
    <w:rsid w:val="00082970"/>
    <w:rsid w:val="0008397E"/>
    <w:rsid w:val="00085643"/>
    <w:rsid w:val="00090E87"/>
    <w:rsid w:val="00090EB2"/>
    <w:rsid w:val="00097E64"/>
    <w:rsid w:val="000A1E68"/>
    <w:rsid w:val="000A2307"/>
    <w:rsid w:val="000A26F8"/>
    <w:rsid w:val="000A3DA4"/>
    <w:rsid w:val="000A51DB"/>
    <w:rsid w:val="000A7F88"/>
    <w:rsid w:val="000B0241"/>
    <w:rsid w:val="000B182B"/>
    <w:rsid w:val="000B2C2B"/>
    <w:rsid w:val="000B318D"/>
    <w:rsid w:val="000B483E"/>
    <w:rsid w:val="000B76CD"/>
    <w:rsid w:val="000D1918"/>
    <w:rsid w:val="000D2276"/>
    <w:rsid w:val="000D46E6"/>
    <w:rsid w:val="000D4B7C"/>
    <w:rsid w:val="000E189F"/>
    <w:rsid w:val="000E242A"/>
    <w:rsid w:val="000E2DE0"/>
    <w:rsid w:val="000E4A4D"/>
    <w:rsid w:val="000E5531"/>
    <w:rsid w:val="000E6931"/>
    <w:rsid w:val="000F0166"/>
    <w:rsid w:val="000F1D11"/>
    <w:rsid w:val="000F3390"/>
    <w:rsid w:val="000F3786"/>
    <w:rsid w:val="000F3C60"/>
    <w:rsid w:val="000F7B4B"/>
    <w:rsid w:val="00100F1E"/>
    <w:rsid w:val="00104732"/>
    <w:rsid w:val="00104FB1"/>
    <w:rsid w:val="0010515D"/>
    <w:rsid w:val="001106F2"/>
    <w:rsid w:val="00110B09"/>
    <w:rsid w:val="001116CA"/>
    <w:rsid w:val="0011191E"/>
    <w:rsid w:val="001147E4"/>
    <w:rsid w:val="00114AC4"/>
    <w:rsid w:val="00114FD2"/>
    <w:rsid w:val="001166E7"/>
    <w:rsid w:val="00117691"/>
    <w:rsid w:val="0012067D"/>
    <w:rsid w:val="00120FA6"/>
    <w:rsid w:val="00121523"/>
    <w:rsid w:val="00121A80"/>
    <w:rsid w:val="0012298D"/>
    <w:rsid w:val="00124296"/>
    <w:rsid w:val="001243C4"/>
    <w:rsid w:val="0012798F"/>
    <w:rsid w:val="00127B89"/>
    <w:rsid w:val="00127D04"/>
    <w:rsid w:val="001303D3"/>
    <w:rsid w:val="001316F8"/>
    <w:rsid w:val="001332BC"/>
    <w:rsid w:val="001340AD"/>
    <w:rsid w:val="0013461A"/>
    <w:rsid w:val="00137385"/>
    <w:rsid w:val="00140625"/>
    <w:rsid w:val="00142107"/>
    <w:rsid w:val="00145C0B"/>
    <w:rsid w:val="00145D2E"/>
    <w:rsid w:val="00146D53"/>
    <w:rsid w:val="00147907"/>
    <w:rsid w:val="00147A06"/>
    <w:rsid w:val="00151F28"/>
    <w:rsid w:val="00153017"/>
    <w:rsid w:val="00155A0E"/>
    <w:rsid w:val="001602EE"/>
    <w:rsid w:val="001608F4"/>
    <w:rsid w:val="0016316E"/>
    <w:rsid w:val="0016554C"/>
    <w:rsid w:val="00166461"/>
    <w:rsid w:val="0016715A"/>
    <w:rsid w:val="001679C2"/>
    <w:rsid w:val="00170824"/>
    <w:rsid w:val="0017273F"/>
    <w:rsid w:val="00172ABF"/>
    <w:rsid w:val="00173AA9"/>
    <w:rsid w:val="00177B68"/>
    <w:rsid w:val="00180CF8"/>
    <w:rsid w:val="00182DBF"/>
    <w:rsid w:val="00183AA6"/>
    <w:rsid w:val="001844AF"/>
    <w:rsid w:val="00184638"/>
    <w:rsid w:val="00187037"/>
    <w:rsid w:val="00194319"/>
    <w:rsid w:val="001948D4"/>
    <w:rsid w:val="00197198"/>
    <w:rsid w:val="001A0A30"/>
    <w:rsid w:val="001A102B"/>
    <w:rsid w:val="001A2BD2"/>
    <w:rsid w:val="001A3639"/>
    <w:rsid w:val="001A72B0"/>
    <w:rsid w:val="001B1DB8"/>
    <w:rsid w:val="001B2E25"/>
    <w:rsid w:val="001B36FF"/>
    <w:rsid w:val="001B6A85"/>
    <w:rsid w:val="001C0E2E"/>
    <w:rsid w:val="001C21AB"/>
    <w:rsid w:val="001C291D"/>
    <w:rsid w:val="001C2E2C"/>
    <w:rsid w:val="001C2FB0"/>
    <w:rsid w:val="001C3230"/>
    <w:rsid w:val="001C4131"/>
    <w:rsid w:val="001C472D"/>
    <w:rsid w:val="001D0723"/>
    <w:rsid w:val="001D0ADB"/>
    <w:rsid w:val="001D2A39"/>
    <w:rsid w:val="001D3381"/>
    <w:rsid w:val="001D38D9"/>
    <w:rsid w:val="001D42FD"/>
    <w:rsid w:val="001D50C7"/>
    <w:rsid w:val="001D62F3"/>
    <w:rsid w:val="001E1712"/>
    <w:rsid w:val="001E3AE1"/>
    <w:rsid w:val="001E4564"/>
    <w:rsid w:val="001E463E"/>
    <w:rsid w:val="001E48FC"/>
    <w:rsid w:val="001E51E8"/>
    <w:rsid w:val="001E5A4A"/>
    <w:rsid w:val="001F077E"/>
    <w:rsid w:val="001F275C"/>
    <w:rsid w:val="001F4B62"/>
    <w:rsid w:val="001F53DE"/>
    <w:rsid w:val="002014F1"/>
    <w:rsid w:val="002016DC"/>
    <w:rsid w:val="00202305"/>
    <w:rsid w:val="002037DD"/>
    <w:rsid w:val="00203FE2"/>
    <w:rsid w:val="00205C6F"/>
    <w:rsid w:val="002112BA"/>
    <w:rsid w:val="00211B40"/>
    <w:rsid w:val="0021430F"/>
    <w:rsid w:val="0022010B"/>
    <w:rsid w:val="00222BE8"/>
    <w:rsid w:val="00225BC5"/>
    <w:rsid w:val="00226765"/>
    <w:rsid w:val="002301CC"/>
    <w:rsid w:val="00230DF7"/>
    <w:rsid w:val="00233CA4"/>
    <w:rsid w:val="00237083"/>
    <w:rsid w:val="00237D8D"/>
    <w:rsid w:val="002438BD"/>
    <w:rsid w:val="00244F58"/>
    <w:rsid w:val="002502FA"/>
    <w:rsid w:val="002508F6"/>
    <w:rsid w:val="002516F7"/>
    <w:rsid w:val="00253497"/>
    <w:rsid w:val="00253505"/>
    <w:rsid w:val="002537D8"/>
    <w:rsid w:val="00253D8D"/>
    <w:rsid w:val="00254C91"/>
    <w:rsid w:val="0026009A"/>
    <w:rsid w:val="00260B18"/>
    <w:rsid w:val="00261C1B"/>
    <w:rsid w:val="00264B5A"/>
    <w:rsid w:val="00265F33"/>
    <w:rsid w:val="002701FE"/>
    <w:rsid w:val="00271599"/>
    <w:rsid w:val="002750B4"/>
    <w:rsid w:val="002755E6"/>
    <w:rsid w:val="00277086"/>
    <w:rsid w:val="0027732C"/>
    <w:rsid w:val="00284880"/>
    <w:rsid w:val="00286092"/>
    <w:rsid w:val="00290135"/>
    <w:rsid w:val="00295857"/>
    <w:rsid w:val="0029606D"/>
    <w:rsid w:val="002973C7"/>
    <w:rsid w:val="002A0CAD"/>
    <w:rsid w:val="002A32E1"/>
    <w:rsid w:val="002A3E00"/>
    <w:rsid w:val="002A5246"/>
    <w:rsid w:val="002A64B4"/>
    <w:rsid w:val="002A67EB"/>
    <w:rsid w:val="002A7BF8"/>
    <w:rsid w:val="002B0F91"/>
    <w:rsid w:val="002B4292"/>
    <w:rsid w:val="002B4C83"/>
    <w:rsid w:val="002C0358"/>
    <w:rsid w:val="002C048B"/>
    <w:rsid w:val="002C1222"/>
    <w:rsid w:val="002C2F22"/>
    <w:rsid w:val="002C409D"/>
    <w:rsid w:val="002C41C0"/>
    <w:rsid w:val="002C4FC3"/>
    <w:rsid w:val="002C5B09"/>
    <w:rsid w:val="002C7FAF"/>
    <w:rsid w:val="002D063C"/>
    <w:rsid w:val="002D2CF6"/>
    <w:rsid w:val="002D31DC"/>
    <w:rsid w:val="002D3F3C"/>
    <w:rsid w:val="002D4032"/>
    <w:rsid w:val="002D5A5E"/>
    <w:rsid w:val="002D7462"/>
    <w:rsid w:val="002E0919"/>
    <w:rsid w:val="002E2A33"/>
    <w:rsid w:val="002E2F22"/>
    <w:rsid w:val="002E3CC3"/>
    <w:rsid w:val="002F5BA9"/>
    <w:rsid w:val="00301AC3"/>
    <w:rsid w:val="00302690"/>
    <w:rsid w:val="00302982"/>
    <w:rsid w:val="00303418"/>
    <w:rsid w:val="00316104"/>
    <w:rsid w:val="00317237"/>
    <w:rsid w:val="003204F2"/>
    <w:rsid w:val="00321960"/>
    <w:rsid w:val="00322E30"/>
    <w:rsid w:val="00324C04"/>
    <w:rsid w:val="003340DF"/>
    <w:rsid w:val="00334343"/>
    <w:rsid w:val="003347A0"/>
    <w:rsid w:val="00336F88"/>
    <w:rsid w:val="00340FF0"/>
    <w:rsid w:val="00341A6E"/>
    <w:rsid w:val="00342CC3"/>
    <w:rsid w:val="00343141"/>
    <w:rsid w:val="00343E0C"/>
    <w:rsid w:val="00344DA3"/>
    <w:rsid w:val="00350F9A"/>
    <w:rsid w:val="00351987"/>
    <w:rsid w:val="00351F4C"/>
    <w:rsid w:val="00352A64"/>
    <w:rsid w:val="0035334E"/>
    <w:rsid w:val="003557E4"/>
    <w:rsid w:val="00361A29"/>
    <w:rsid w:val="0036715B"/>
    <w:rsid w:val="00367E4A"/>
    <w:rsid w:val="003707DE"/>
    <w:rsid w:val="00371465"/>
    <w:rsid w:val="0037414E"/>
    <w:rsid w:val="0037427E"/>
    <w:rsid w:val="00375606"/>
    <w:rsid w:val="003809D1"/>
    <w:rsid w:val="00381A7A"/>
    <w:rsid w:val="00385438"/>
    <w:rsid w:val="003878A5"/>
    <w:rsid w:val="00390619"/>
    <w:rsid w:val="00390C49"/>
    <w:rsid w:val="0039202C"/>
    <w:rsid w:val="00392B94"/>
    <w:rsid w:val="00393F4B"/>
    <w:rsid w:val="00394377"/>
    <w:rsid w:val="003948FC"/>
    <w:rsid w:val="003978C8"/>
    <w:rsid w:val="003A0463"/>
    <w:rsid w:val="003A0C24"/>
    <w:rsid w:val="003A2485"/>
    <w:rsid w:val="003A264D"/>
    <w:rsid w:val="003A3121"/>
    <w:rsid w:val="003A31A0"/>
    <w:rsid w:val="003A326C"/>
    <w:rsid w:val="003A3696"/>
    <w:rsid w:val="003A42FA"/>
    <w:rsid w:val="003A5841"/>
    <w:rsid w:val="003A66EC"/>
    <w:rsid w:val="003B1AA3"/>
    <w:rsid w:val="003B32B0"/>
    <w:rsid w:val="003B59D9"/>
    <w:rsid w:val="003C0C2B"/>
    <w:rsid w:val="003C1EB9"/>
    <w:rsid w:val="003C3249"/>
    <w:rsid w:val="003C3EA0"/>
    <w:rsid w:val="003C419C"/>
    <w:rsid w:val="003C41EC"/>
    <w:rsid w:val="003C4942"/>
    <w:rsid w:val="003D01EF"/>
    <w:rsid w:val="003D14CC"/>
    <w:rsid w:val="003D3B34"/>
    <w:rsid w:val="003D46AE"/>
    <w:rsid w:val="003D6174"/>
    <w:rsid w:val="003E323B"/>
    <w:rsid w:val="003E39D4"/>
    <w:rsid w:val="003E549A"/>
    <w:rsid w:val="003E5A89"/>
    <w:rsid w:val="003F1F24"/>
    <w:rsid w:val="003F595E"/>
    <w:rsid w:val="003F6574"/>
    <w:rsid w:val="003F6E09"/>
    <w:rsid w:val="003F728E"/>
    <w:rsid w:val="00402EDB"/>
    <w:rsid w:val="004100FD"/>
    <w:rsid w:val="0041232A"/>
    <w:rsid w:val="004125FC"/>
    <w:rsid w:val="00412AD9"/>
    <w:rsid w:val="00415492"/>
    <w:rsid w:val="004178C8"/>
    <w:rsid w:val="00423C35"/>
    <w:rsid w:val="004278D4"/>
    <w:rsid w:val="00430D45"/>
    <w:rsid w:val="00431DA3"/>
    <w:rsid w:val="00432A0C"/>
    <w:rsid w:val="00433DE5"/>
    <w:rsid w:val="00437A54"/>
    <w:rsid w:val="00442031"/>
    <w:rsid w:val="004443C8"/>
    <w:rsid w:val="0044481F"/>
    <w:rsid w:val="004454F7"/>
    <w:rsid w:val="00450079"/>
    <w:rsid w:val="004504E7"/>
    <w:rsid w:val="0045373C"/>
    <w:rsid w:val="00453C0B"/>
    <w:rsid w:val="00456071"/>
    <w:rsid w:val="00456737"/>
    <w:rsid w:val="00456A79"/>
    <w:rsid w:val="00461EDE"/>
    <w:rsid w:val="004638A8"/>
    <w:rsid w:val="00470220"/>
    <w:rsid w:val="00471E78"/>
    <w:rsid w:val="0047252B"/>
    <w:rsid w:val="00472C32"/>
    <w:rsid w:val="00472D58"/>
    <w:rsid w:val="00473996"/>
    <w:rsid w:val="0047592F"/>
    <w:rsid w:val="004767E9"/>
    <w:rsid w:val="00476AF1"/>
    <w:rsid w:val="00477EF4"/>
    <w:rsid w:val="004823A5"/>
    <w:rsid w:val="00484559"/>
    <w:rsid w:val="004847F6"/>
    <w:rsid w:val="004852B6"/>
    <w:rsid w:val="004854B1"/>
    <w:rsid w:val="004876D3"/>
    <w:rsid w:val="004909BB"/>
    <w:rsid w:val="0049197F"/>
    <w:rsid w:val="00493DD9"/>
    <w:rsid w:val="00496CF3"/>
    <w:rsid w:val="00496D57"/>
    <w:rsid w:val="004A135E"/>
    <w:rsid w:val="004A373F"/>
    <w:rsid w:val="004A464E"/>
    <w:rsid w:val="004A468A"/>
    <w:rsid w:val="004A4859"/>
    <w:rsid w:val="004B0832"/>
    <w:rsid w:val="004B1D23"/>
    <w:rsid w:val="004B5CC9"/>
    <w:rsid w:val="004B72BC"/>
    <w:rsid w:val="004C0FC4"/>
    <w:rsid w:val="004C1246"/>
    <w:rsid w:val="004C1EC2"/>
    <w:rsid w:val="004C4F15"/>
    <w:rsid w:val="004C61B8"/>
    <w:rsid w:val="004C7700"/>
    <w:rsid w:val="004D313F"/>
    <w:rsid w:val="004D3D71"/>
    <w:rsid w:val="004D4FBD"/>
    <w:rsid w:val="004E1031"/>
    <w:rsid w:val="004E16F4"/>
    <w:rsid w:val="004E2788"/>
    <w:rsid w:val="004E28A4"/>
    <w:rsid w:val="004E3E2A"/>
    <w:rsid w:val="004E441F"/>
    <w:rsid w:val="004F0E59"/>
    <w:rsid w:val="004F1A93"/>
    <w:rsid w:val="004F27DA"/>
    <w:rsid w:val="004F29A2"/>
    <w:rsid w:val="004F2EAE"/>
    <w:rsid w:val="004F2FDA"/>
    <w:rsid w:val="004F49DE"/>
    <w:rsid w:val="004F4C83"/>
    <w:rsid w:val="004F564A"/>
    <w:rsid w:val="004F6088"/>
    <w:rsid w:val="0050055F"/>
    <w:rsid w:val="00501A8E"/>
    <w:rsid w:val="00502983"/>
    <w:rsid w:val="005045F2"/>
    <w:rsid w:val="0051102B"/>
    <w:rsid w:val="0051110B"/>
    <w:rsid w:val="00513E02"/>
    <w:rsid w:val="005141F0"/>
    <w:rsid w:val="00514727"/>
    <w:rsid w:val="0051691A"/>
    <w:rsid w:val="005216DB"/>
    <w:rsid w:val="00522BE1"/>
    <w:rsid w:val="00525134"/>
    <w:rsid w:val="00527055"/>
    <w:rsid w:val="00527860"/>
    <w:rsid w:val="005302E8"/>
    <w:rsid w:val="00537C60"/>
    <w:rsid w:val="005403BB"/>
    <w:rsid w:val="00540508"/>
    <w:rsid w:val="00541462"/>
    <w:rsid w:val="00545692"/>
    <w:rsid w:val="00547939"/>
    <w:rsid w:val="0055006E"/>
    <w:rsid w:val="005528A4"/>
    <w:rsid w:val="0055343F"/>
    <w:rsid w:val="005538B1"/>
    <w:rsid w:val="005570A3"/>
    <w:rsid w:val="00557BB6"/>
    <w:rsid w:val="005617E0"/>
    <w:rsid w:val="005623D2"/>
    <w:rsid w:val="0056793D"/>
    <w:rsid w:val="00570476"/>
    <w:rsid w:val="005758B0"/>
    <w:rsid w:val="0057593B"/>
    <w:rsid w:val="005761DA"/>
    <w:rsid w:val="00576B9B"/>
    <w:rsid w:val="005775A5"/>
    <w:rsid w:val="00577A94"/>
    <w:rsid w:val="00577CD6"/>
    <w:rsid w:val="00581C4B"/>
    <w:rsid w:val="005820C9"/>
    <w:rsid w:val="0058211A"/>
    <w:rsid w:val="005847C1"/>
    <w:rsid w:val="005903E6"/>
    <w:rsid w:val="005906A6"/>
    <w:rsid w:val="00590E74"/>
    <w:rsid w:val="00593B63"/>
    <w:rsid w:val="005A1F8D"/>
    <w:rsid w:val="005A67BB"/>
    <w:rsid w:val="005A740E"/>
    <w:rsid w:val="005B0120"/>
    <w:rsid w:val="005B0BCC"/>
    <w:rsid w:val="005B2090"/>
    <w:rsid w:val="005B2A3B"/>
    <w:rsid w:val="005B2AFE"/>
    <w:rsid w:val="005B39F8"/>
    <w:rsid w:val="005B3F4F"/>
    <w:rsid w:val="005B71C1"/>
    <w:rsid w:val="005C2B4E"/>
    <w:rsid w:val="005C663F"/>
    <w:rsid w:val="005C79E2"/>
    <w:rsid w:val="005D07B3"/>
    <w:rsid w:val="005D1611"/>
    <w:rsid w:val="005E5234"/>
    <w:rsid w:val="005E7F3F"/>
    <w:rsid w:val="005F6CAA"/>
    <w:rsid w:val="00602DE5"/>
    <w:rsid w:val="0060451F"/>
    <w:rsid w:val="006049B5"/>
    <w:rsid w:val="006054BF"/>
    <w:rsid w:val="0060556C"/>
    <w:rsid w:val="00605FB9"/>
    <w:rsid w:val="006077DA"/>
    <w:rsid w:val="00613495"/>
    <w:rsid w:val="006138A9"/>
    <w:rsid w:val="00616699"/>
    <w:rsid w:val="006217C9"/>
    <w:rsid w:val="006217CD"/>
    <w:rsid w:val="00622118"/>
    <w:rsid w:val="00622A7A"/>
    <w:rsid w:val="00623F3E"/>
    <w:rsid w:val="00626C25"/>
    <w:rsid w:val="006302E7"/>
    <w:rsid w:val="0063404D"/>
    <w:rsid w:val="00634F1B"/>
    <w:rsid w:val="00637C57"/>
    <w:rsid w:val="00640710"/>
    <w:rsid w:val="00642967"/>
    <w:rsid w:val="00643C82"/>
    <w:rsid w:val="00650291"/>
    <w:rsid w:val="006504F8"/>
    <w:rsid w:val="00655583"/>
    <w:rsid w:val="00657A43"/>
    <w:rsid w:val="00660860"/>
    <w:rsid w:val="00660BC7"/>
    <w:rsid w:val="0066177F"/>
    <w:rsid w:val="00661FD1"/>
    <w:rsid w:val="006631A6"/>
    <w:rsid w:val="006635EA"/>
    <w:rsid w:val="0066581C"/>
    <w:rsid w:val="00670F37"/>
    <w:rsid w:val="00674510"/>
    <w:rsid w:val="0067548C"/>
    <w:rsid w:val="0068029A"/>
    <w:rsid w:val="00684358"/>
    <w:rsid w:val="00686D4F"/>
    <w:rsid w:val="00687BC5"/>
    <w:rsid w:val="00691763"/>
    <w:rsid w:val="0069233D"/>
    <w:rsid w:val="006A28D5"/>
    <w:rsid w:val="006A3076"/>
    <w:rsid w:val="006A31DB"/>
    <w:rsid w:val="006A3B57"/>
    <w:rsid w:val="006A4BE5"/>
    <w:rsid w:val="006A55AD"/>
    <w:rsid w:val="006A65EF"/>
    <w:rsid w:val="006C492D"/>
    <w:rsid w:val="006C6369"/>
    <w:rsid w:val="006D2826"/>
    <w:rsid w:val="006D44DF"/>
    <w:rsid w:val="006D582C"/>
    <w:rsid w:val="006D6106"/>
    <w:rsid w:val="006E16EF"/>
    <w:rsid w:val="006E58B8"/>
    <w:rsid w:val="006E628F"/>
    <w:rsid w:val="006E7D08"/>
    <w:rsid w:val="006F0642"/>
    <w:rsid w:val="006F069F"/>
    <w:rsid w:val="006F0977"/>
    <w:rsid w:val="006F19A2"/>
    <w:rsid w:val="006F320A"/>
    <w:rsid w:val="006F405C"/>
    <w:rsid w:val="006F4AF1"/>
    <w:rsid w:val="006F6C03"/>
    <w:rsid w:val="006F793B"/>
    <w:rsid w:val="006F7A1E"/>
    <w:rsid w:val="007014BE"/>
    <w:rsid w:val="00704458"/>
    <w:rsid w:val="00705A3B"/>
    <w:rsid w:val="0070677A"/>
    <w:rsid w:val="00707093"/>
    <w:rsid w:val="00707748"/>
    <w:rsid w:val="00707A12"/>
    <w:rsid w:val="007103AB"/>
    <w:rsid w:val="007107BA"/>
    <w:rsid w:val="00710CE7"/>
    <w:rsid w:val="007227D3"/>
    <w:rsid w:val="00730BED"/>
    <w:rsid w:val="007327B6"/>
    <w:rsid w:val="00737112"/>
    <w:rsid w:val="007375F9"/>
    <w:rsid w:val="007377CC"/>
    <w:rsid w:val="007418CF"/>
    <w:rsid w:val="007443AD"/>
    <w:rsid w:val="00745BA7"/>
    <w:rsid w:val="00745F2F"/>
    <w:rsid w:val="007469D2"/>
    <w:rsid w:val="0075198B"/>
    <w:rsid w:val="007543DE"/>
    <w:rsid w:val="00756068"/>
    <w:rsid w:val="007562BD"/>
    <w:rsid w:val="007566F0"/>
    <w:rsid w:val="00756F77"/>
    <w:rsid w:val="00760780"/>
    <w:rsid w:val="00763624"/>
    <w:rsid w:val="0076441E"/>
    <w:rsid w:val="0076657F"/>
    <w:rsid w:val="00774B22"/>
    <w:rsid w:val="00777A09"/>
    <w:rsid w:val="007837F3"/>
    <w:rsid w:val="007904A7"/>
    <w:rsid w:val="00794C4E"/>
    <w:rsid w:val="007963A2"/>
    <w:rsid w:val="007A6F05"/>
    <w:rsid w:val="007B6642"/>
    <w:rsid w:val="007C5CDC"/>
    <w:rsid w:val="007C6DEF"/>
    <w:rsid w:val="007C7C36"/>
    <w:rsid w:val="007D1C46"/>
    <w:rsid w:val="007D340E"/>
    <w:rsid w:val="007D5A8A"/>
    <w:rsid w:val="007D62CA"/>
    <w:rsid w:val="007D66C2"/>
    <w:rsid w:val="007D765B"/>
    <w:rsid w:val="007E0BFD"/>
    <w:rsid w:val="007E20CA"/>
    <w:rsid w:val="007F042D"/>
    <w:rsid w:val="007F0737"/>
    <w:rsid w:val="007F0940"/>
    <w:rsid w:val="007F19AC"/>
    <w:rsid w:val="007F1E62"/>
    <w:rsid w:val="007F24F6"/>
    <w:rsid w:val="007F2A0D"/>
    <w:rsid w:val="007F2A7E"/>
    <w:rsid w:val="007F552B"/>
    <w:rsid w:val="007F63EC"/>
    <w:rsid w:val="007F6516"/>
    <w:rsid w:val="00800C47"/>
    <w:rsid w:val="00803F1B"/>
    <w:rsid w:val="008056A7"/>
    <w:rsid w:val="00805852"/>
    <w:rsid w:val="00805B22"/>
    <w:rsid w:val="00810805"/>
    <w:rsid w:val="00810F55"/>
    <w:rsid w:val="00811A91"/>
    <w:rsid w:val="00814958"/>
    <w:rsid w:val="008149CF"/>
    <w:rsid w:val="00816CA5"/>
    <w:rsid w:val="00817FC3"/>
    <w:rsid w:val="00823E54"/>
    <w:rsid w:val="00824A4E"/>
    <w:rsid w:val="008254E7"/>
    <w:rsid w:val="0083477F"/>
    <w:rsid w:val="00837152"/>
    <w:rsid w:val="00837596"/>
    <w:rsid w:val="00840886"/>
    <w:rsid w:val="008408A0"/>
    <w:rsid w:val="00846E88"/>
    <w:rsid w:val="008501A5"/>
    <w:rsid w:val="00854ADE"/>
    <w:rsid w:val="008576F0"/>
    <w:rsid w:val="00857C89"/>
    <w:rsid w:val="00857FE1"/>
    <w:rsid w:val="008611F2"/>
    <w:rsid w:val="00861E1F"/>
    <w:rsid w:val="00861EE2"/>
    <w:rsid w:val="00862598"/>
    <w:rsid w:val="00864151"/>
    <w:rsid w:val="00865C0D"/>
    <w:rsid w:val="00867F1E"/>
    <w:rsid w:val="008707CA"/>
    <w:rsid w:val="00871650"/>
    <w:rsid w:val="00872A55"/>
    <w:rsid w:val="00873542"/>
    <w:rsid w:val="00880C71"/>
    <w:rsid w:val="0088117B"/>
    <w:rsid w:val="00882531"/>
    <w:rsid w:val="0088714E"/>
    <w:rsid w:val="00887FA5"/>
    <w:rsid w:val="008926B7"/>
    <w:rsid w:val="0089561E"/>
    <w:rsid w:val="008A0590"/>
    <w:rsid w:val="008B063A"/>
    <w:rsid w:val="008B2878"/>
    <w:rsid w:val="008B2A80"/>
    <w:rsid w:val="008B4122"/>
    <w:rsid w:val="008B534E"/>
    <w:rsid w:val="008B536E"/>
    <w:rsid w:val="008B5F79"/>
    <w:rsid w:val="008B61CE"/>
    <w:rsid w:val="008C2242"/>
    <w:rsid w:val="008C2FFC"/>
    <w:rsid w:val="008C3D85"/>
    <w:rsid w:val="008D2512"/>
    <w:rsid w:val="008D3423"/>
    <w:rsid w:val="008D416F"/>
    <w:rsid w:val="008D6580"/>
    <w:rsid w:val="008E1E2A"/>
    <w:rsid w:val="008E277B"/>
    <w:rsid w:val="008E3748"/>
    <w:rsid w:val="008E45DE"/>
    <w:rsid w:val="008E765D"/>
    <w:rsid w:val="008F733C"/>
    <w:rsid w:val="00901BE0"/>
    <w:rsid w:val="00904292"/>
    <w:rsid w:val="00910626"/>
    <w:rsid w:val="00910AC9"/>
    <w:rsid w:val="0091236B"/>
    <w:rsid w:val="009135EF"/>
    <w:rsid w:val="00913DB1"/>
    <w:rsid w:val="009150AA"/>
    <w:rsid w:val="009167EA"/>
    <w:rsid w:val="00916E26"/>
    <w:rsid w:val="00917CF5"/>
    <w:rsid w:val="009203AD"/>
    <w:rsid w:val="00920BA7"/>
    <w:rsid w:val="00921D50"/>
    <w:rsid w:val="00923ABF"/>
    <w:rsid w:val="009257CF"/>
    <w:rsid w:val="00926D34"/>
    <w:rsid w:val="00926E93"/>
    <w:rsid w:val="00927FAF"/>
    <w:rsid w:val="00930C66"/>
    <w:rsid w:val="00933440"/>
    <w:rsid w:val="00933AD4"/>
    <w:rsid w:val="00935D37"/>
    <w:rsid w:val="00936389"/>
    <w:rsid w:val="009367C7"/>
    <w:rsid w:val="0094058F"/>
    <w:rsid w:val="00940633"/>
    <w:rsid w:val="009413D6"/>
    <w:rsid w:val="009418C7"/>
    <w:rsid w:val="00942DC2"/>
    <w:rsid w:val="009433EF"/>
    <w:rsid w:val="00943770"/>
    <w:rsid w:val="0094465F"/>
    <w:rsid w:val="009446AB"/>
    <w:rsid w:val="00947975"/>
    <w:rsid w:val="00956CA1"/>
    <w:rsid w:val="00957FC8"/>
    <w:rsid w:val="0096020A"/>
    <w:rsid w:val="00960DBD"/>
    <w:rsid w:val="00960E8B"/>
    <w:rsid w:val="009618C6"/>
    <w:rsid w:val="0096652B"/>
    <w:rsid w:val="00967743"/>
    <w:rsid w:val="009700AC"/>
    <w:rsid w:val="00970E4B"/>
    <w:rsid w:val="0097162D"/>
    <w:rsid w:val="0097473C"/>
    <w:rsid w:val="00974D3A"/>
    <w:rsid w:val="0097594A"/>
    <w:rsid w:val="00977B8C"/>
    <w:rsid w:val="00980419"/>
    <w:rsid w:val="00980D23"/>
    <w:rsid w:val="00983562"/>
    <w:rsid w:val="00985E2D"/>
    <w:rsid w:val="00990379"/>
    <w:rsid w:val="0099164F"/>
    <w:rsid w:val="00994467"/>
    <w:rsid w:val="00994538"/>
    <w:rsid w:val="00995057"/>
    <w:rsid w:val="0099782D"/>
    <w:rsid w:val="00997D7A"/>
    <w:rsid w:val="009A01BD"/>
    <w:rsid w:val="009A1E22"/>
    <w:rsid w:val="009A323D"/>
    <w:rsid w:val="009A4D6E"/>
    <w:rsid w:val="009A54A9"/>
    <w:rsid w:val="009B0F62"/>
    <w:rsid w:val="009B4126"/>
    <w:rsid w:val="009B4573"/>
    <w:rsid w:val="009B5ABF"/>
    <w:rsid w:val="009B6906"/>
    <w:rsid w:val="009B7AF2"/>
    <w:rsid w:val="009B7E26"/>
    <w:rsid w:val="009C0CFE"/>
    <w:rsid w:val="009C323E"/>
    <w:rsid w:val="009C3D15"/>
    <w:rsid w:val="009D16DF"/>
    <w:rsid w:val="009D1830"/>
    <w:rsid w:val="009D1AC9"/>
    <w:rsid w:val="009D1DF7"/>
    <w:rsid w:val="009D3B7A"/>
    <w:rsid w:val="009D417C"/>
    <w:rsid w:val="009D455E"/>
    <w:rsid w:val="009E41F1"/>
    <w:rsid w:val="009E6969"/>
    <w:rsid w:val="009F13D4"/>
    <w:rsid w:val="009F14F1"/>
    <w:rsid w:val="009F1CFB"/>
    <w:rsid w:val="009F1DFF"/>
    <w:rsid w:val="009F35D0"/>
    <w:rsid w:val="009F3B9B"/>
    <w:rsid w:val="009F5A1E"/>
    <w:rsid w:val="009F69BD"/>
    <w:rsid w:val="009F69DB"/>
    <w:rsid w:val="009F6E0B"/>
    <w:rsid w:val="00A0130C"/>
    <w:rsid w:val="00A013CD"/>
    <w:rsid w:val="00A027F4"/>
    <w:rsid w:val="00A03192"/>
    <w:rsid w:val="00A03333"/>
    <w:rsid w:val="00A0337F"/>
    <w:rsid w:val="00A055DB"/>
    <w:rsid w:val="00A0595F"/>
    <w:rsid w:val="00A12557"/>
    <w:rsid w:val="00A12B15"/>
    <w:rsid w:val="00A1338D"/>
    <w:rsid w:val="00A156FF"/>
    <w:rsid w:val="00A15728"/>
    <w:rsid w:val="00A15F73"/>
    <w:rsid w:val="00A1646A"/>
    <w:rsid w:val="00A1658F"/>
    <w:rsid w:val="00A16646"/>
    <w:rsid w:val="00A17257"/>
    <w:rsid w:val="00A1771F"/>
    <w:rsid w:val="00A17737"/>
    <w:rsid w:val="00A206AD"/>
    <w:rsid w:val="00A21826"/>
    <w:rsid w:val="00A223A7"/>
    <w:rsid w:val="00A22CDE"/>
    <w:rsid w:val="00A22ED2"/>
    <w:rsid w:val="00A23026"/>
    <w:rsid w:val="00A23044"/>
    <w:rsid w:val="00A26DD8"/>
    <w:rsid w:val="00A3282B"/>
    <w:rsid w:val="00A3667B"/>
    <w:rsid w:val="00A41CDE"/>
    <w:rsid w:val="00A422ED"/>
    <w:rsid w:val="00A42363"/>
    <w:rsid w:val="00A42678"/>
    <w:rsid w:val="00A44782"/>
    <w:rsid w:val="00A51056"/>
    <w:rsid w:val="00A52ADA"/>
    <w:rsid w:val="00A54A96"/>
    <w:rsid w:val="00A55F01"/>
    <w:rsid w:val="00A5779D"/>
    <w:rsid w:val="00A57AB0"/>
    <w:rsid w:val="00A62053"/>
    <w:rsid w:val="00A66B95"/>
    <w:rsid w:val="00A67E61"/>
    <w:rsid w:val="00A72406"/>
    <w:rsid w:val="00A746B2"/>
    <w:rsid w:val="00A74FC4"/>
    <w:rsid w:val="00A8034A"/>
    <w:rsid w:val="00A81344"/>
    <w:rsid w:val="00A8144C"/>
    <w:rsid w:val="00A82198"/>
    <w:rsid w:val="00A85729"/>
    <w:rsid w:val="00A85F2C"/>
    <w:rsid w:val="00A869B9"/>
    <w:rsid w:val="00A871E1"/>
    <w:rsid w:val="00A872AA"/>
    <w:rsid w:val="00A87303"/>
    <w:rsid w:val="00A91C4C"/>
    <w:rsid w:val="00A925C8"/>
    <w:rsid w:val="00A93C26"/>
    <w:rsid w:val="00A9486C"/>
    <w:rsid w:val="00A94FB8"/>
    <w:rsid w:val="00A96790"/>
    <w:rsid w:val="00AA07BD"/>
    <w:rsid w:val="00AA3212"/>
    <w:rsid w:val="00AA3545"/>
    <w:rsid w:val="00AA4BD1"/>
    <w:rsid w:val="00AB27A7"/>
    <w:rsid w:val="00AB38D9"/>
    <w:rsid w:val="00AB7DAC"/>
    <w:rsid w:val="00AC1974"/>
    <w:rsid w:val="00AC2132"/>
    <w:rsid w:val="00AC4D0F"/>
    <w:rsid w:val="00AC6193"/>
    <w:rsid w:val="00AC685E"/>
    <w:rsid w:val="00AD04B0"/>
    <w:rsid w:val="00AD0907"/>
    <w:rsid w:val="00AD29ED"/>
    <w:rsid w:val="00AD5212"/>
    <w:rsid w:val="00AD57D5"/>
    <w:rsid w:val="00AE10AE"/>
    <w:rsid w:val="00AE14C5"/>
    <w:rsid w:val="00AE36EC"/>
    <w:rsid w:val="00AE43B0"/>
    <w:rsid w:val="00AE4C6F"/>
    <w:rsid w:val="00AE5AAD"/>
    <w:rsid w:val="00AE5CC0"/>
    <w:rsid w:val="00AE688F"/>
    <w:rsid w:val="00AF0A6F"/>
    <w:rsid w:val="00AF2682"/>
    <w:rsid w:val="00AF31FA"/>
    <w:rsid w:val="00AF375F"/>
    <w:rsid w:val="00AF400E"/>
    <w:rsid w:val="00AF4411"/>
    <w:rsid w:val="00AF51A3"/>
    <w:rsid w:val="00AF53DE"/>
    <w:rsid w:val="00AF55D3"/>
    <w:rsid w:val="00AF6933"/>
    <w:rsid w:val="00AF7027"/>
    <w:rsid w:val="00B00D15"/>
    <w:rsid w:val="00B041F1"/>
    <w:rsid w:val="00B05A19"/>
    <w:rsid w:val="00B05C1E"/>
    <w:rsid w:val="00B0602B"/>
    <w:rsid w:val="00B065B9"/>
    <w:rsid w:val="00B07A9F"/>
    <w:rsid w:val="00B12051"/>
    <w:rsid w:val="00B1350C"/>
    <w:rsid w:val="00B13789"/>
    <w:rsid w:val="00B15D33"/>
    <w:rsid w:val="00B162C3"/>
    <w:rsid w:val="00B22EA7"/>
    <w:rsid w:val="00B246E2"/>
    <w:rsid w:val="00B269DB"/>
    <w:rsid w:val="00B3342A"/>
    <w:rsid w:val="00B37486"/>
    <w:rsid w:val="00B406F3"/>
    <w:rsid w:val="00B40DCF"/>
    <w:rsid w:val="00B41574"/>
    <w:rsid w:val="00B43C7B"/>
    <w:rsid w:val="00B4489A"/>
    <w:rsid w:val="00B4656E"/>
    <w:rsid w:val="00B47AB4"/>
    <w:rsid w:val="00B509ED"/>
    <w:rsid w:val="00B51750"/>
    <w:rsid w:val="00B54162"/>
    <w:rsid w:val="00B542D3"/>
    <w:rsid w:val="00B560B0"/>
    <w:rsid w:val="00B56A1E"/>
    <w:rsid w:val="00B57284"/>
    <w:rsid w:val="00B6035B"/>
    <w:rsid w:val="00B64E58"/>
    <w:rsid w:val="00B666ED"/>
    <w:rsid w:val="00B70DED"/>
    <w:rsid w:val="00B7317D"/>
    <w:rsid w:val="00B76556"/>
    <w:rsid w:val="00B836D5"/>
    <w:rsid w:val="00B840AB"/>
    <w:rsid w:val="00B84FE0"/>
    <w:rsid w:val="00B90C4D"/>
    <w:rsid w:val="00B92C79"/>
    <w:rsid w:val="00B952EB"/>
    <w:rsid w:val="00B96270"/>
    <w:rsid w:val="00B97680"/>
    <w:rsid w:val="00BA069E"/>
    <w:rsid w:val="00BA0EAF"/>
    <w:rsid w:val="00BA12FD"/>
    <w:rsid w:val="00BA5DE0"/>
    <w:rsid w:val="00BA69BB"/>
    <w:rsid w:val="00BA7956"/>
    <w:rsid w:val="00BA7B67"/>
    <w:rsid w:val="00BB143A"/>
    <w:rsid w:val="00BB62CF"/>
    <w:rsid w:val="00BB77ED"/>
    <w:rsid w:val="00BC07D9"/>
    <w:rsid w:val="00BC0F68"/>
    <w:rsid w:val="00BC5ACB"/>
    <w:rsid w:val="00BD0A62"/>
    <w:rsid w:val="00BD0B0A"/>
    <w:rsid w:val="00BD156F"/>
    <w:rsid w:val="00BD1AAA"/>
    <w:rsid w:val="00BD1E82"/>
    <w:rsid w:val="00BD3403"/>
    <w:rsid w:val="00BD3778"/>
    <w:rsid w:val="00BD384E"/>
    <w:rsid w:val="00BD6CB8"/>
    <w:rsid w:val="00BE03FB"/>
    <w:rsid w:val="00BE1A66"/>
    <w:rsid w:val="00BE25B8"/>
    <w:rsid w:val="00BE5150"/>
    <w:rsid w:val="00BE5638"/>
    <w:rsid w:val="00BF04ED"/>
    <w:rsid w:val="00BF37DC"/>
    <w:rsid w:val="00BF60EE"/>
    <w:rsid w:val="00BF7550"/>
    <w:rsid w:val="00C0138E"/>
    <w:rsid w:val="00C023A4"/>
    <w:rsid w:val="00C03B39"/>
    <w:rsid w:val="00C03DAB"/>
    <w:rsid w:val="00C0403E"/>
    <w:rsid w:val="00C058DD"/>
    <w:rsid w:val="00C05D5F"/>
    <w:rsid w:val="00C062CC"/>
    <w:rsid w:val="00C06C13"/>
    <w:rsid w:val="00C076E1"/>
    <w:rsid w:val="00C10609"/>
    <w:rsid w:val="00C1296E"/>
    <w:rsid w:val="00C168B8"/>
    <w:rsid w:val="00C16B94"/>
    <w:rsid w:val="00C2004B"/>
    <w:rsid w:val="00C22AFA"/>
    <w:rsid w:val="00C23D1C"/>
    <w:rsid w:val="00C24A34"/>
    <w:rsid w:val="00C275DE"/>
    <w:rsid w:val="00C344E7"/>
    <w:rsid w:val="00C34C2B"/>
    <w:rsid w:val="00C43335"/>
    <w:rsid w:val="00C471EE"/>
    <w:rsid w:val="00C5090D"/>
    <w:rsid w:val="00C516A1"/>
    <w:rsid w:val="00C531FF"/>
    <w:rsid w:val="00C53663"/>
    <w:rsid w:val="00C543E3"/>
    <w:rsid w:val="00C54463"/>
    <w:rsid w:val="00C625FA"/>
    <w:rsid w:val="00C644C7"/>
    <w:rsid w:val="00C659D0"/>
    <w:rsid w:val="00C65F9B"/>
    <w:rsid w:val="00C66A8C"/>
    <w:rsid w:val="00C70168"/>
    <w:rsid w:val="00C70F21"/>
    <w:rsid w:val="00C71935"/>
    <w:rsid w:val="00C72875"/>
    <w:rsid w:val="00C72993"/>
    <w:rsid w:val="00C74245"/>
    <w:rsid w:val="00C757DA"/>
    <w:rsid w:val="00C77A95"/>
    <w:rsid w:val="00C80569"/>
    <w:rsid w:val="00C81A60"/>
    <w:rsid w:val="00C82864"/>
    <w:rsid w:val="00C86D95"/>
    <w:rsid w:val="00C903C3"/>
    <w:rsid w:val="00C9086C"/>
    <w:rsid w:val="00C91FF9"/>
    <w:rsid w:val="00C92F43"/>
    <w:rsid w:val="00C944E5"/>
    <w:rsid w:val="00C96FC0"/>
    <w:rsid w:val="00CA30D7"/>
    <w:rsid w:val="00CA4F90"/>
    <w:rsid w:val="00CB25E7"/>
    <w:rsid w:val="00CB3AE8"/>
    <w:rsid w:val="00CB3EA3"/>
    <w:rsid w:val="00CB5D2C"/>
    <w:rsid w:val="00CC14E4"/>
    <w:rsid w:val="00CC2443"/>
    <w:rsid w:val="00CD1675"/>
    <w:rsid w:val="00CD399D"/>
    <w:rsid w:val="00CD4642"/>
    <w:rsid w:val="00CD5308"/>
    <w:rsid w:val="00CD74E1"/>
    <w:rsid w:val="00CE2266"/>
    <w:rsid w:val="00CE5E6E"/>
    <w:rsid w:val="00CE618F"/>
    <w:rsid w:val="00CE6508"/>
    <w:rsid w:val="00CF51A5"/>
    <w:rsid w:val="00CF77E7"/>
    <w:rsid w:val="00CF7E4F"/>
    <w:rsid w:val="00D023FE"/>
    <w:rsid w:val="00D0487F"/>
    <w:rsid w:val="00D101F0"/>
    <w:rsid w:val="00D1209D"/>
    <w:rsid w:val="00D122FC"/>
    <w:rsid w:val="00D13AEB"/>
    <w:rsid w:val="00D14674"/>
    <w:rsid w:val="00D14BFB"/>
    <w:rsid w:val="00D178DE"/>
    <w:rsid w:val="00D202DB"/>
    <w:rsid w:val="00D21A57"/>
    <w:rsid w:val="00D2210B"/>
    <w:rsid w:val="00D222CE"/>
    <w:rsid w:val="00D252DC"/>
    <w:rsid w:val="00D3737D"/>
    <w:rsid w:val="00D37406"/>
    <w:rsid w:val="00D377BF"/>
    <w:rsid w:val="00D4207E"/>
    <w:rsid w:val="00D44386"/>
    <w:rsid w:val="00D444F3"/>
    <w:rsid w:val="00D4554B"/>
    <w:rsid w:val="00D530AF"/>
    <w:rsid w:val="00D54B07"/>
    <w:rsid w:val="00D55776"/>
    <w:rsid w:val="00D60772"/>
    <w:rsid w:val="00D60B47"/>
    <w:rsid w:val="00D616FD"/>
    <w:rsid w:val="00D6281A"/>
    <w:rsid w:val="00D719F3"/>
    <w:rsid w:val="00D721B4"/>
    <w:rsid w:val="00D74F18"/>
    <w:rsid w:val="00D81C3D"/>
    <w:rsid w:val="00D82CD2"/>
    <w:rsid w:val="00D83463"/>
    <w:rsid w:val="00D83650"/>
    <w:rsid w:val="00D87EE7"/>
    <w:rsid w:val="00D91482"/>
    <w:rsid w:val="00D9267E"/>
    <w:rsid w:val="00D92D78"/>
    <w:rsid w:val="00D932EE"/>
    <w:rsid w:val="00D94B63"/>
    <w:rsid w:val="00D94EA0"/>
    <w:rsid w:val="00D96622"/>
    <w:rsid w:val="00D9708A"/>
    <w:rsid w:val="00DA1925"/>
    <w:rsid w:val="00DA35CA"/>
    <w:rsid w:val="00DA70FF"/>
    <w:rsid w:val="00DB0CCF"/>
    <w:rsid w:val="00DB4518"/>
    <w:rsid w:val="00DB69F4"/>
    <w:rsid w:val="00DB6B93"/>
    <w:rsid w:val="00DB6C2C"/>
    <w:rsid w:val="00DC0A4B"/>
    <w:rsid w:val="00DC0E9B"/>
    <w:rsid w:val="00DC21CC"/>
    <w:rsid w:val="00DC73F9"/>
    <w:rsid w:val="00DC7CCD"/>
    <w:rsid w:val="00DD19B7"/>
    <w:rsid w:val="00DD22BC"/>
    <w:rsid w:val="00DD2998"/>
    <w:rsid w:val="00DE279C"/>
    <w:rsid w:val="00DE52B4"/>
    <w:rsid w:val="00DE605E"/>
    <w:rsid w:val="00DF14B1"/>
    <w:rsid w:val="00DF1A59"/>
    <w:rsid w:val="00DF35B5"/>
    <w:rsid w:val="00DF5F69"/>
    <w:rsid w:val="00DF641D"/>
    <w:rsid w:val="00DF6480"/>
    <w:rsid w:val="00DF761C"/>
    <w:rsid w:val="00E0152C"/>
    <w:rsid w:val="00E05300"/>
    <w:rsid w:val="00E06B2D"/>
    <w:rsid w:val="00E06E06"/>
    <w:rsid w:val="00E108C6"/>
    <w:rsid w:val="00E12664"/>
    <w:rsid w:val="00E1274D"/>
    <w:rsid w:val="00E13203"/>
    <w:rsid w:val="00E135BE"/>
    <w:rsid w:val="00E13CA2"/>
    <w:rsid w:val="00E14202"/>
    <w:rsid w:val="00E14D5C"/>
    <w:rsid w:val="00E15AF3"/>
    <w:rsid w:val="00E161D1"/>
    <w:rsid w:val="00E1689F"/>
    <w:rsid w:val="00E17254"/>
    <w:rsid w:val="00E212BE"/>
    <w:rsid w:val="00E21FA4"/>
    <w:rsid w:val="00E22D24"/>
    <w:rsid w:val="00E22F24"/>
    <w:rsid w:val="00E2382F"/>
    <w:rsid w:val="00E24E5D"/>
    <w:rsid w:val="00E3217C"/>
    <w:rsid w:val="00E36741"/>
    <w:rsid w:val="00E373AE"/>
    <w:rsid w:val="00E41597"/>
    <w:rsid w:val="00E4172D"/>
    <w:rsid w:val="00E4182E"/>
    <w:rsid w:val="00E50413"/>
    <w:rsid w:val="00E55935"/>
    <w:rsid w:val="00E57237"/>
    <w:rsid w:val="00E63F89"/>
    <w:rsid w:val="00E64BFD"/>
    <w:rsid w:val="00E64C4D"/>
    <w:rsid w:val="00E64EBF"/>
    <w:rsid w:val="00E70383"/>
    <w:rsid w:val="00E709DB"/>
    <w:rsid w:val="00E70F83"/>
    <w:rsid w:val="00E75B4B"/>
    <w:rsid w:val="00E8016B"/>
    <w:rsid w:val="00E80617"/>
    <w:rsid w:val="00E8163D"/>
    <w:rsid w:val="00E85B61"/>
    <w:rsid w:val="00E87088"/>
    <w:rsid w:val="00E95E66"/>
    <w:rsid w:val="00E966C3"/>
    <w:rsid w:val="00E97D6F"/>
    <w:rsid w:val="00E97EB0"/>
    <w:rsid w:val="00EA42FC"/>
    <w:rsid w:val="00EA5D2D"/>
    <w:rsid w:val="00EA7412"/>
    <w:rsid w:val="00EB67DA"/>
    <w:rsid w:val="00EC29B6"/>
    <w:rsid w:val="00EC2E26"/>
    <w:rsid w:val="00EC6399"/>
    <w:rsid w:val="00EC7B6C"/>
    <w:rsid w:val="00ED00C1"/>
    <w:rsid w:val="00ED059D"/>
    <w:rsid w:val="00ED11DD"/>
    <w:rsid w:val="00ED3579"/>
    <w:rsid w:val="00ED36C0"/>
    <w:rsid w:val="00ED6C3E"/>
    <w:rsid w:val="00ED6EE5"/>
    <w:rsid w:val="00ED7646"/>
    <w:rsid w:val="00ED7EF1"/>
    <w:rsid w:val="00EE610D"/>
    <w:rsid w:val="00EE642A"/>
    <w:rsid w:val="00EE6A58"/>
    <w:rsid w:val="00EF5668"/>
    <w:rsid w:val="00EF59D3"/>
    <w:rsid w:val="00EF7BA0"/>
    <w:rsid w:val="00F00288"/>
    <w:rsid w:val="00F017E0"/>
    <w:rsid w:val="00F03745"/>
    <w:rsid w:val="00F03899"/>
    <w:rsid w:val="00F10329"/>
    <w:rsid w:val="00F12718"/>
    <w:rsid w:val="00F12B22"/>
    <w:rsid w:val="00F13C9F"/>
    <w:rsid w:val="00F14EF6"/>
    <w:rsid w:val="00F16E43"/>
    <w:rsid w:val="00F16FED"/>
    <w:rsid w:val="00F17570"/>
    <w:rsid w:val="00F20D57"/>
    <w:rsid w:val="00F22550"/>
    <w:rsid w:val="00F23334"/>
    <w:rsid w:val="00F2738E"/>
    <w:rsid w:val="00F3016E"/>
    <w:rsid w:val="00F379AA"/>
    <w:rsid w:val="00F44761"/>
    <w:rsid w:val="00F46AB3"/>
    <w:rsid w:val="00F474B2"/>
    <w:rsid w:val="00F50369"/>
    <w:rsid w:val="00F50692"/>
    <w:rsid w:val="00F5173D"/>
    <w:rsid w:val="00F52276"/>
    <w:rsid w:val="00F565B8"/>
    <w:rsid w:val="00F575A7"/>
    <w:rsid w:val="00F60831"/>
    <w:rsid w:val="00F65AD3"/>
    <w:rsid w:val="00F70531"/>
    <w:rsid w:val="00F71128"/>
    <w:rsid w:val="00F71E53"/>
    <w:rsid w:val="00F72EFC"/>
    <w:rsid w:val="00F76045"/>
    <w:rsid w:val="00F768AB"/>
    <w:rsid w:val="00F76A08"/>
    <w:rsid w:val="00F81D9A"/>
    <w:rsid w:val="00F85DCD"/>
    <w:rsid w:val="00F875D2"/>
    <w:rsid w:val="00F90490"/>
    <w:rsid w:val="00F93577"/>
    <w:rsid w:val="00F94AE4"/>
    <w:rsid w:val="00F97389"/>
    <w:rsid w:val="00F976AC"/>
    <w:rsid w:val="00F97B09"/>
    <w:rsid w:val="00FA12AD"/>
    <w:rsid w:val="00FA1C85"/>
    <w:rsid w:val="00FA3864"/>
    <w:rsid w:val="00FA43C3"/>
    <w:rsid w:val="00FA48E5"/>
    <w:rsid w:val="00FA6964"/>
    <w:rsid w:val="00FA6D1C"/>
    <w:rsid w:val="00FB19A9"/>
    <w:rsid w:val="00FC097D"/>
    <w:rsid w:val="00FC0A54"/>
    <w:rsid w:val="00FC2F2E"/>
    <w:rsid w:val="00FC3A41"/>
    <w:rsid w:val="00FD314F"/>
    <w:rsid w:val="00FD3F68"/>
    <w:rsid w:val="00FD6099"/>
    <w:rsid w:val="00FD668C"/>
    <w:rsid w:val="00FD6BBF"/>
    <w:rsid w:val="00FD707C"/>
    <w:rsid w:val="00FE51BD"/>
    <w:rsid w:val="00FE5DC3"/>
    <w:rsid w:val="00FF1779"/>
    <w:rsid w:val="00FF1915"/>
    <w:rsid w:val="00FF2340"/>
    <w:rsid w:val="00FF60C7"/>
    <w:rsid w:val="00FF7392"/>
    <w:rsid w:val="011410E7"/>
    <w:rsid w:val="02CA179F"/>
    <w:rsid w:val="030C5A8C"/>
    <w:rsid w:val="043D4CEA"/>
    <w:rsid w:val="04D871BC"/>
    <w:rsid w:val="077B52E6"/>
    <w:rsid w:val="07FBB9A7"/>
    <w:rsid w:val="083A6877"/>
    <w:rsid w:val="088E65EB"/>
    <w:rsid w:val="0AAF3F03"/>
    <w:rsid w:val="0B3F3A98"/>
    <w:rsid w:val="0B4C1738"/>
    <w:rsid w:val="0DA42252"/>
    <w:rsid w:val="0F6E701B"/>
    <w:rsid w:val="0FEF32CA"/>
    <w:rsid w:val="11095B8B"/>
    <w:rsid w:val="14224C67"/>
    <w:rsid w:val="15DDE197"/>
    <w:rsid w:val="16036302"/>
    <w:rsid w:val="16A022AB"/>
    <w:rsid w:val="17BF0607"/>
    <w:rsid w:val="18C900F9"/>
    <w:rsid w:val="19DFDFF2"/>
    <w:rsid w:val="1A3A4DBC"/>
    <w:rsid w:val="1CF777BC"/>
    <w:rsid w:val="1DD11934"/>
    <w:rsid w:val="1DD60189"/>
    <w:rsid w:val="1ED24BFE"/>
    <w:rsid w:val="1F1F6C8E"/>
    <w:rsid w:val="1F48029C"/>
    <w:rsid w:val="1FE3F42C"/>
    <w:rsid w:val="25984E90"/>
    <w:rsid w:val="26C82B97"/>
    <w:rsid w:val="26D846AB"/>
    <w:rsid w:val="273E7C3F"/>
    <w:rsid w:val="27B5125A"/>
    <w:rsid w:val="28B640A0"/>
    <w:rsid w:val="2A615292"/>
    <w:rsid w:val="2BAD69DC"/>
    <w:rsid w:val="2DFE7BAB"/>
    <w:rsid w:val="2E84799A"/>
    <w:rsid w:val="2F314E0D"/>
    <w:rsid w:val="2F7E1441"/>
    <w:rsid w:val="2FF788ED"/>
    <w:rsid w:val="32D75A45"/>
    <w:rsid w:val="338A1A32"/>
    <w:rsid w:val="370A6D13"/>
    <w:rsid w:val="37CC2D27"/>
    <w:rsid w:val="37FFCA61"/>
    <w:rsid w:val="399E0F98"/>
    <w:rsid w:val="39EB78EC"/>
    <w:rsid w:val="39FFC942"/>
    <w:rsid w:val="3A4E2F34"/>
    <w:rsid w:val="3BE7A112"/>
    <w:rsid w:val="3C6B26BF"/>
    <w:rsid w:val="3E2866CC"/>
    <w:rsid w:val="3F6E00B4"/>
    <w:rsid w:val="3FCEC5CB"/>
    <w:rsid w:val="3FDA529F"/>
    <w:rsid w:val="3FF75195"/>
    <w:rsid w:val="3FFD9213"/>
    <w:rsid w:val="41D75940"/>
    <w:rsid w:val="42302088"/>
    <w:rsid w:val="437A231D"/>
    <w:rsid w:val="44E751B6"/>
    <w:rsid w:val="458A5715"/>
    <w:rsid w:val="465327CE"/>
    <w:rsid w:val="48A045AB"/>
    <w:rsid w:val="499F0266"/>
    <w:rsid w:val="4A28753D"/>
    <w:rsid w:val="4AADEF56"/>
    <w:rsid w:val="4B4F7E57"/>
    <w:rsid w:val="4C134A8D"/>
    <w:rsid w:val="4D1709C3"/>
    <w:rsid w:val="4E555835"/>
    <w:rsid w:val="4EF4E47F"/>
    <w:rsid w:val="4F6A2AE2"/>
    <w:rsid w:val="4FBB2524"/>
    <w:rsid w:val="4FBF2882"/>
    <w:rsid w:val="51796035"/>
    <w:rsid w:val="540F0375"/>
    <w:rsid w:val="54FE7477"/>
    <w:rsid w:val="57CC07EF"/>
    <w:rsid w:val="57D3CADF"/>
    <w:rsid w:val="58135360"/>
    <w:rsid w:val="5BED11FB"/>
    <w:rsid w:val="5C4A2FDE"/>
    <w:rsid w:val="5C957B5A"/>
    <w:rsid w:val="5D08196B"/>
    <w:rsid w:val="5DC12740"/>
    <w:rsid w:val="5F45041F"/>
    <w:rsid w:val="5F4F7D06"/>
    <w:rsid w:val="5F8FE584"/>
    <w:rsid w:val="5FC7B001"/>
    <w:rsid w:val="5FDFB82A"/>
    <w:rsid w:val="5FEFD790"/>
    <w:rsid w:val="5FF48BD1"/>
    <w:rsid w:val="5FFBEF9A"/>
    <w:rsid w:val="60A76D6C"/>
    <w:rsid w:val="60E1D247"/>
    <w:rsid w:val="63BD629C"/>
    <w:rsid w:val="63F472C2"/>
    <w:rsid w:val="659462FC"/>
    <w:rsid w:val="66FDAA05"/>
    <w:rsid w:val="673F65E4"/>
    <w:rsid w:val="67F88528"/>
    <w:rsid w:val="68DF471C"/>
    <w:rsid w:val="6A1C2667"/>
    <w:rsid w:val="6C55C321"/>
    <w:rsid w:val="6C60119C"/>
    <w:rsid w:val="6DD28ED6"/>
    <w:rsid w:val="6DF751DE"/>
    <w:rsid w:val="6DFA1037"/>
    <w:rsid w:val="6E2E3C35"/>
    <w:rsid w:val="6ECF23D3"/>
    <w:rsid w:val="6EEFF112"/>
    <w:rsid w:val="6FFDA50B"/>
    <w:rsid w:val="6FFF91B3"/>
    <w:rsid w:val="706A2C46"/>
    <w:rsid w:val="722D19B3"/>
    <w:rsid w:val="728F1E7C"/>
    <w:rsid w:val="72B21253"/>
    <w:rsid w:val="72D52371"/>
    <w:rsid w:val="734B2896"/>
    <w:rsid w:val="75765346"/>
    <w:rsid w:val="75F546D0"/>
    <w:rsid w:val="769F7AB2"/>
    <w:rsid w:val="76E62AC7"/>
    <w:rsid w:val="77665557"/>
    <w:rsid w:val="77734B75"/>
    <w:rsid w:val="77882560"/>
    <w:rsid w:val="77D77261"/>
    <w:rsid w:val="79D70EC9"/>
    <w:rsid w:val="79FE4EB8"/>
    <w:rsid w:val="79FF42F8"/>
    <w:rsid w:val="7AA226C9"/>
    <w:rsid w:val="7B75DC66"/>
    <w:rsid w:val="7B7FFB4F"/>
    <w:rsid w:val="7BD91133"/>
    <w:rsid w:val="7BFA71EA"/>
    <w:rsid w:val="7CBFE3F4"/>
    <w:rsid w:val="7D3742C4"/>
    <w:rsid w:val="7D772DBC"/>
    <w:rsid w:val="7DBF6B6F"/>
    <w:rsid w:val="7DFAEBFE"/>
    <w:rsid w:val="7E06559B"/>
    <w:rsid w:val="7E5713D4"/>
    <w:rsid w:val="7EDF0F22"/>
    <w:rsid w:val="7F2AD902"/>
    <w:rsid w:val="7F4FDFD6"/>
    <w:rsid w:val="7F5FCA6C"/>
    <w:rsid w:val="7F750EDF"/>
    <w:rsid w:val="7F7BCA73"/>
    <w:rsid w:val="7F9E80B8"/>
    <w:rsid w:val="7F9F1DCF"/>
    <w:rsid w:val="7F9F6B47"/>
    <w:rsid w:val="7F9F6C67"/>
    <w:rsid w:val="7FEF9802"/>
    <w:rsid w:val="7FF56CBE"/>
    <w:rsid w:val="7FFD0A40"/>
    <w:rsid w:val="7FFF5433"/>
    <w:rsid w:val="7FFFC144"/>
    <w:rsid w:val="8BEFF70C"/>
    <w:rsid w:val="8F6FE71C"/>
    <w:rsid w:val="8F9F3BE8"/>
    <w:rsid w:val="9EDFA7B7"/>
    <w:rsid w:val="AAF4207F"/>
    <w:rsid w:val="ABBCB24E"/>
    <w:rsid w:val="AD2FBC54"/>
    <w:rsid w:val="AEF56192"/>
    <w:rsid w:val="AF3FBB2E"/>
    <w:rsid w:val="AF6E31AE"/>
    <w:rsid w:val="AF7F9132"/>
    <w:rsid w:val="AFB0A308"/>
    <w:rsid w:val="AFC30AD7"/>
    <w:rsid w:val="B6ED5E69"/>
    <w:rsid w:val="B9F3D81D"/>
    <w:rsid w:val="BBBF29BB"/>
    <w:rsid w:val="BBE7F19C"/>
    <w:rsid w:val="BDF74CA6"/>
    <w:rsid w:val="BDFF29C6"/>
    <w:rsid w:val="BEFFEA9C"/>
    <w:rsid w:val="BF7724FE"/>
    <w:rsid w:val="BFDB4461"/>
    <w:rsid w:val="BFF7442D"/>
    <w:rsid w:val="C0DFE680"/>
    <w:rsid w:val="C3FF7B94"/>
    <w:rsid w:val="C96BC6FC"/>
    <w:rsid w:val="C9FE259A"/>
    <w:rsid w:val="CB479DD4"/>
    <w:rsid w:val="CCDBEC6D"/>
    <w:rsid w:val="D36F35A9"/>
    <w:rsid w:val="D68E6052"/>
    <w:rsid w:val="DADEBE9F"/>
    <w:rsid w:val="DBE3D8B7"/>
    <w:rsid w:val="DDBD2661"/>
    <w:rsid w:val="DEC5F1F9"/>
    <w:rsid w:val="DF9467F3"/>
    <w:rsid w:val="DF9FAD2D"/>
    <w:rsid w:val="DFF57721"/>
    <w:rsid w:val="DFFFA71B"/>
    <w:rsid w:val="E6FFF0BC"/>
    <w:rsid w:val="EBBBBC4D"/>
    <w:rsid w:val="ED1B48E8"/>
    <w:rsid w:val="EF757D9E"/>
    <w:rsid w:val="EFC9DA4E"/>
    <w:rsid w:val="F1DFB6C9"/>
    <w:rsid w:val="F1DFD1BF"/>
    <w:rsid w:val="F26C986B"/>
    <w:rsid w:val="F37FE04F"/>
    <w:rsid w:val="F57F72BE"/>
    <w:rsid w:val="F5F75E58"/>
    <w:rsid w:val="F6DF7632"/>
    <w:rsid w:val="F7DE8AE8"/>
    <w:rsid w:val="F7FEB637"/>
    <w:rsid w:val="F91E563E"/>
    <w:rsid w:val="F9BEF778"/>
    <w:rsid w:val="F9FF98B2"/>
    <w:rsid w:val="FAFE4B8B"/>
    <w:rsid w:val="FAFF9ECE"/>
    <w:rsid w:val="FB1E2CA1"/>
    <w:rsid w:val="FBEF61AB"/>
    <w:rsid w:val="FBEFDA90"/>
    <w:rsid w:val="FBFBF74D"/>
    <w:rsid w:val="FC7F4CEB"/>
    <w:rsid w:val="FCBF31D4"/>
    <w:rsid w:val="FCEB9092"/>
    <w:rsid w:val="FD65D35E"/>
    <w:rsid w:val="FD7B362D"/>
    <w:rsid w:val="FFDE421A"/>
    <w:rsid w:val="FFE7F8BF"/>
    <w:rsid w:val="FFFF596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character" w:default="1" w:styleId="15">
    <w:name w:val="Default Paragraph Font"/>
    <w:semiHidden/>
    <w:uiPriority w:val="0"/>
  </w:style>
  <w:style w:type="table" w:default="1" w:styleId="13">
    <w:name w:val="Normal Table"/>
    <w:semiHidden/>
    <w:uiPriority w:val="0"/>
    <w:tblPr>
      <w:tblStyle w:val="13"/>
      <w:tblLayout w:type="fixed"/>
      <w:tblCellMar>
        <w:top w:w="0" w:type="dxa"/>
        <w:left w:w="108" w:type="dxa"/>
        <w:bottom w:w="0" w:type="dxa"/>
        <w:right w:w="108" w:type="dxa"/>
      </w:tblCellMar>
    </w:tblPr>
  </w:style>
  <w:style w:type="paragraph" w:styleId="2">
    <w:name w:val="Title"/>
    <w:basedOn w:val="1"/>
    <w:next w:val="3"/>
    <w:qFormat/>
    <w:uiPriority w:val="0"/>
    <w:pPr>
      <w:widowControl w:val="0"/>
      <w:suppressAutoHyphens/>
      <w:bidi w:val="0"/>
      <w:spacing w:before="240" w:after="60"/>
      <w:jc w:val="center"/>
    </w:pPr>
    <w:rPr>
      <w:rFonts w:ascii="Calibri Light" w:hAnsi="Calibri Light" w:eastAsia="宋体" w:cs="Times New Roman"/>
      <w:b/>
      <w:bCs/>
      <w:color w:val="auto"/>
      <w:kern w:val="2"/>
      <w:sz w:val="32"/>
      <w:szCs w:val="32"/>
      <w:lang w:val="en-US" w:eastAsia="zh-CN" w:bidi="ar-SA"/>
    </w:rPr>
  </w:style>
  <w:style w:type="paragraph" w:styleId="3">
    <w:name w:val="Body Text Indent"/>
    <w:basedOn w:val="1"/>
    <w:next w:val="4"/>
    <w:qFormat/>
    <w:uiPriority w:val="0"/>
    <w:pPr>
      <w:suppressAutoHyphens/>
      <w:bidi w:val="0"/>
      <w:spacing w:after="120" w:afterAutospacing="0" w:line="580" w:lineRule="exact"/>
      <w:ind w:left="420" w:leftChars="200" w:firstLine="420" w:firstLineChars="200"/>
    </w:pPr>
    <w:rPr>
      <w:rFonts w:ascii="Times New Roman" w:hAnsi="Times New Roman" w:eastAsia="CESI仿宋-GB2312" w:cs="Times New Roman"/>
      <w:color w:val="auto"/>
      <w:szCs w:val="32"/>
      <w:lang w:bidi="ar-SA"/>
    </w:rPr>
  </w:style>
  <w:style w:type="paragraph" w:styleId="4">
    <w:name w:val="toc 2"/>
    <w:basedOn w:val="1"/>
    <w:next w:val="1"/>
    <w:qFormat/>
    <w:uiPriority w:val="0"/>
    <w:pPr>
      <w:suppressAutoHyphens/>
      <w:bidi w:val="0"/>
      <w:ind w:left="420" w:leftChars="200"/>
    </w:pPr>
    <w:rPr>
      <w:rFonts w:ascii="Calibri" w:hAnsi="Calibri" w:eastAsia="宋体" w:cs="Times New Roman"/>
      <w:color w:val="auto"/>
      <w:szCs w:val="24"/>
      <w:lang w:bidi="ar-SA"/>
    </w:rPr>
  </w:style>
  <w:style w:type="paragraph" w:styleId="5">
    <w:name w:val="caption"/>
    <w:basedOn w:val="1"/>
    <w:uiPriority w:val="0"/>
    <w:pPr>
      <w:widowControl w:val="0"/>
      <w:suppressLineNumbers/>
      <w:suppressAutoHyphens/>
      <w:bidi w:val="0"/>
      <w:spacing w:before="120" w:after="120"/>
    </w:pPr>
    <w:rPr>
      <w:rFonts w:ascii="Calibri" w:hAnsi="Calibri" w:eastAsia="宋体" w:cs="Times New Roman"/>
      <w:i/>
      <w:iCs/>
      <w:color w:val="auto"/>
      <w:sz w:val="24"/>
      <w:szCs w:val="24"/>
      <w:lang w:bidi="ar-SA"/>
    </w:rPr>
  </w:style>
  <w:style w:type="paragraph" w:styleId="6">
    <w:name w:val="Document Map"/>
    <w:basedOn w:val="1"/>
    <w:semiHidden/>
    <w:uiPriority w:val="0"/>
    <w:pPr>
      <w:shd w:val="clear" w:color="auto" w:fill="000080"/>
    </w:pPr>
  </w:style>
  <w:style w:type="paragraph" w:styleId="7">
    <w:name w:val="Body Text"/>
    <w:basedOn w:val="1"/>
    <w:uiPriority w:val="0"/>
    <w:pPr>
      <w:suppressAutoHyphens/>
      <w:bidi w:val="0"/>
      <w:spacing w:before="0" w:after="140" w:line="276" w:lineRule="auto"/>
    </w:pPr>
    <w:rPr>
      <w:rFonts w:ascii="Calibri" w:hAnsi="Calibri" w:eastAsia="宋体" w:cs="Times New Roman"/>
      <w:color w:val="auto"/>
      <w:szCs w:val="24"/>
      <w:lang w:bidi="ar-SA"/>
    </w:rPr>
  </w:style>
  <w:style w:type="paragraph" w:styleId="8">
    <w:name w:val="Date"/>
    <w:basedOn w:val="1"/>
    <w:next w:val="1"/>
    <w:link w:val="19"/>
    <w:uiPriority w:val="0"/>
    <w:pPr>
      <w:ind w:left="100" w:leftChars="2500"/>
    </w:pPr>
    <w:rPr>
      <w:rFonts w:ascii="仿宋_GB2312" w:eastAsia="仿宋_GB2312"/>
      <w:sz w:val="32"/>
    </w:rPr>
  </w:style>
  <w:style w:type="paragraph" w:styleId="9">
    <w:name w:val="Balloon Text"/>
    <w:basedOn w:val="1"/>
    <w:semiHidden/>
    <w:uiPriority w:val="0"/>
    <w:rPr>
      <w:sz w:val="18"/>
      <w:szCs w:val="18"/>
    </w:rPr>
  </w:style>
  <w:style w:type="paragraph" w:styleId="10">
    <w:name w:val="footer"/>
    <w:basedOn w:val="1"/>
    <w:link w:val="20"/>
    <w:uiPriority w:val="0"/>
    <w:pPr>
      <w:tabs>
        <w:tab w:val="center" w:pos="4153"/>
        <w:tab w:val="right" w:pos="8306"/>
      </w:tabs>
      <w:snapToGrid w:val="0"/>
      <w:jc w:val="left"/>
    </w:pPr>
    <w:rPr>
      <w:sz w:val="18"/>
      <w:szCs w:val="18"/>
    </w:rPr>
  </w:style>
  <w:style w:type="paragraph" w:styleId="11">
    <w:name w:val="header"/>
    <w:basedOn w:val="1"/>
    <w:link w:val="21"/>
    <w:uiPriority w:val="0"/>
    <w:pPr>
      <w:pBdr>
        <w:bottom w:val="single" w:color="auto" w:sz="6" w:space="1"/>
      </w:pBdr>
      <w:tabs>
        <w:tab w:val="center" w:pos="4153"/>
        <w:tab w:val="right" w:pos="8306"/>
      </w:tabs>
      <w:snapToGrid w:val="0"/>
      <w:jc w:val="center"/>
    </w:pPr>
    <w:rPr>
      <w:sz w:val="18"/>
      <w:szCs w:val="18"/>
    </w:rPr>
  </w:style>
  <w:style w:type="paragraph" w:styleId="12">
    <w:name w:val="List"/>
    <w:basedOn w:val="7"/>
    <w:uiPriority w:val="0"/>
  </w:style>
  <w:style w:type="table" w:styleId="14">
    <w:name w:val="Table Grid"/>
    <w:basedOn w:val="13"/>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page number"/>
    <w:basedOn w:val="15"/>
    <w:uiPriority w:val="0"/>
  </w:style>
  <w:style w:type="paragraph" w:customStyle="1" w:styleId="17">
    <w:name w:val="Heading"/>
    <w:basedOn w:val="1"/>
    <w:next w:val="7"/>
    <w:uiPriority w:val="0"/>
    <w:pPr>
      <w:keepNext/>
      <w:widowControl w:val="0"/>
      <w:suppressAutoHyphens/>
      <w:bidi w:val="0"/>
      <w:spacing w:before="240" w:after="120"/>
    </w:pPr>
    <w:rPr>
      <w:rFonts w:ascii="Liberation Sans" w:hAnsi="Liberation Sans" w:eastAsia="Noto Sans CJK SC Regular" w:cs="Noto Sans CJK SC Regular"/>
      <w:color w:val="auto"/>
      <w:sz w:val="28"/>
      <w:szCs w:val="28"/>
      <w:lang w:bidi="ar-SA"/>
    </w:rPr>
  </w:style>
  <w:style w:type="paragraph" w:customStyle="1" w:styleId="18">
    <w:name w:val="Index"/>
    <w:basedOn w:val="1"/>
    <w:uiPriority w:val="0"/>
    <w:pPr>
      <w:widowControl w:val="0"/>
      <w:suppressLineNumbers/>
      <w:suppressAutoHyphens/>
      <w:bidi w:val="0"/>
    </w:pPr>
    <w:rPr>
      <w:rFonts w:ascii="Calibri" w:hAnsi="Calibri" w:eastAsia="宋体" w:cs="Times New Roman"/>
      <w:color w:val="auto"/>
      <w:szCs w:val="24"/>
      <w:lang w:bidi="ar-SA"/>
    </w:rPr>
  </w:style>
  <w:style w:type="character" w:customStyle="1" w:styleId="19">
    <w:name w:val=" Char Char1"/>
    <w:basedOn w:val="15"/>
    <w:link w:val="8"/>
    <w:uiPriority w:val="0"/>
    <w:rPr>
      <w:rFonts w:ascii="仿宋_GB2312" w:hAnsi="Times New Roman" w:eastAsia="仿宋_GB2312" w:cs="Times New Roman"/>
      <w:kern w:val="2"/>
      <w:sz w:val="32"/>
      <w:szCs w:val="24"/>
      <w:lang w:bidi="ar-SA"/>
    </w:rPr>
  </w:style>
  <w:style w:type="character" w:customStyle="1" w:styleId="20">
    <w:name w:val=" Char Char2"/>
    <w:basedOn w:val="15"/>
    <w:link w:val="10"/>
    <w:semiHidden/>
    <w:uiPriority w:val="99"/>
    <w:rPr>
      <w:rFonts w:ascii="Times New Roman" w:hAnsi="Times New Roman" w:eastAsia="宋体" w:cs="Times New Roman"/>
      <w:kern w:val="2"/>
      <w:sz w:val="18"/>
      <w:szCs w:val="22"/>
    </w:rPr>
  </w:style>
  <w:style w:type="character" w:customStyle="1" w:styleId="21">
    <w:name w:val=" Char Char"/>
    <w:basedOn w:val="15"/>
    <w:link w:val="11"/>
    <w:semiHidden/>
    <w:uiPriority w:val="99"/>
    <w:rPr>
      <w:rFonts w:ascii="Times New Roman" w:hAnsi="Times New Roman" w:eastAsia="宋体" w:cs="Times New Roman"/>
      <w:kern w:val="2"/>
      <w:sz w:val="18"/>
      <w:szCs w:val="22"/>
    </w:rPr>
  </w:style>
  <w:style w:type="character" w:customStyle="1" w:styleId="22">
    <w:name w:val="默认段落字体1"/>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Lenovo (Beijing) Limited</Company>
  <Pages>18</Pages>
  <Words>9405</Words>
  <Characters>9539</Characters>
  <Lines>1</Lines>
  <Paragraphs>1</Paragraphs>
  <TotalTime>2</TotalTime>
  <ScaleCrop>false</ScaleCrop>
  <LinksUpToDate>false</LinksUpToDate>
  <CharactersWithSpaces>9602</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2012-09-19T21:07:00Z</dcterms:created>
  <dc:creator>王蕾:打印</dc:creator>
  <cp:lastModifiedBy>哈斯高娃:通知发起人</cp:lastModifiedBy>
  <cp:lastPrinted>2026-06-25T17:35:57Z</cp:lastPrinted>
  <dcterms:modified xsi:type="dcterms:W3CDTF">2026-06-29T03:12:55Z</dcterms:modified>
  <dc:title>_x0001_</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