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color w:val="000000"/>
          <w:w w:val="95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w w:val="95"/>
          <w:sz w:val="44"/>
          <w:szCs w:val="44"/>
          <w:lang w:val="en-US"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  <w:t>关于印发《金融支持实体经济十条举措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  <w:t>（2026年）》的通知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center"/>
        <w:textAlignment w:val="auto"/>
        <w:outlineLvl w:val="9"/>
        <w:rPr>
          <w:rStyle w:val="4"/>
          <w:rFonts w:hint="eastAsia" w:ascii="Times New Roman" w:hAnsi="Times New Roman" w:eastAsia="仿宋_GB2312" w:cs="Times New Roman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  <w:t>内政办发〔2026〕15号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center"/>
        <w:textAlignment w:val="auto"/>
        <w:outlineLvl w:val="9"/>
        <w:rPr>
          <w:rStyle w:val="4"/>
          <w:rFonts w:hint="eastAsia" w:ascii="Times New Roman" w:hAnsi="Times New Roman" w:eastAsia="仿宋_GB2312" w:cs="Times New Roman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rStyle w:val="4"/>
          <w:rFonts w:hint="default" w:ascii="Times New Roman" w:hAnsi="Times New Roman" w:eastAsia="仿宋_GB2312" w:cs="Times New Roman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eastAsia" w:ascii="Times New Roman" w:hAnsi="Times New Roman" w:eastAsia="仿宋_GB2312" w:cs="Times New Roman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  <w:t>各盟行政公署、市人民政府，自治区各有关委、办、厅、局，各金融机构：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  <w:t>经自治区人民政府同意，现将《金融支持实体经济十条举措（2026年）》印发给你们，请结合实际认真组织实施。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Style w:val="4"/>
          <w:rFonts w:hint="default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  <w:t xml:space="preserve">                                2026年5月7日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  <w:t>（本文有删减）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Times New Roman" w:hAnsi="Times New Roman" w:eastAsia="仿宋_GB2312"/>
          <w:b w:val="0"/>
          <w:bCs/>
          <w:color w:val="000000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0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0"/>
          <w:sz w:val="44"/>
          <w:szCs w:val="44"/>
          <w:highlight w:val="none"/>
          <w:lang w:val="en-US" w:eastAsia="zh-CN" w:bidi="ar"/>
        </w:rPr>
        <w:t>金融支持实体经济十条举措（2026年）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Style w:val="4"/>
          <w:rFonts w:hint="eastAsia" w:ascii="Times New Roman" w:hAnsi="Times New Roman" w:eastAsia="仿宋_GB2312" w:cs="Times New Roman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9"/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lang w:val="en-US" w:eastAsia="zh-CN" w:bidi="ar"/>
        </w:rPr>
        <w:t>为认真落实自治区党委“1571”工作部署，提升金融服务实体经济质效，紧紧围绕铸牢中华民族共同体意识工作主线，结合自治区实际，提出如下措施。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 w:val="0"/>
          <w:bCs/>
          <w:color w:val="auto"/>
          <w:w w:val="100"/>
          <w:kern w:val="0"/>
          <w:sz w:val="32"/>
          <w:szCs w:val="32"/>
          <w:highlight w:val="no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lang w:val="en-US" w:eastAsia="zh-CN" w:bidi="ar"/>
        </w:rPr>
        <w:t>一、制定自贸试验区金融改革创新实施方案，推动自贸金融增长10%以上。探索跨境算力服务结算模式，促进中蒙跨境移动支付互联互通。探索开发涉外商业医疗保险产品。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lang w:val="en-US" w:eastAsia="zh-CN" w:bidi="ar-SA"/>
        </w:rPr>
        <w:t>（责任单位：中国人民银行内蒙古自治区分行、内蒙古金融监管局，自治区商务厅、地方金融管理局，各金融机构）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lang w:val="en-US" w:eastAsia="zh-CN" w:bidi="ar"/>
        </w:rPr>
        <w:t>二、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加大重点产业支持力度。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增加农牧业领域金融供给，全区农畜贷授信超百亿元。开展沙戈荒大基地千亿授信行动，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能源类企业新增授信不低于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500亿元。增强对稀土产业集群的金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融服务能力，稀土类企业融资增长10%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（责任单位：包头市人民政府，自治区能源局、工业和信息化厅、地方金融管理局，中国人民银行内蒙古自治区分行，各金融机构）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三、推动金融机构年内新增科技贷款800亿元，创新科技金融产品，优化扩大科技型企业研发、成果转化、知识产权等保险产品和服务。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（责任单位：中国人民银行内蒙古自治区分行、内蒙古金融监管局，各金融机构）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四、支持企业发行科技创新债券，全年累计发行规模500亿元。充分运用不动产投资信托基金（REITs）、资产支持证券（ABS）等工具，推动1个以上项目上市。鼓励上市公司开展并购重组。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（责任单位：中国人民银行内蒙古自治区分行、内蒙古证监局，自治区发展改革委、地方金融管理局）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 w:val="0"/>
          <w:bCs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五、推动金融机构用好结构性货币政策工具，运用500亿元再贷款资金，其中，民营企业再贷款90亿元、外贸再贷款再贴现30亿元，加大对民营企业、支农支小、外贸、科技创新和技术改造、服务消费与养老、数据、算力等领域的信贷投放力度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（责任单位：中国人民银行内蒙古自治区分行，各金融机构）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 w:val="0"/>
          <w:bCs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六、实施大宗商品信用证百亿计划，协调银行业金</w:t>
      </w:r>
      <w:r>
        <w:rPr>
          <w:rStyle w:val="4"/>
          <w:rFonts w:hint="eastAsia" w:ascii="仿宋" w:hAnsi="仿宋" w:eastAsia="仿宋" w:cs="仿宋"/>
          <w:b w:val="0"/>
          <w:bCs/>
          <w:color w:val="auto"/>
          <w:w w:val="100"/>
          <w:kern w:val="0"/>
          <w:sz w:val="32"/>
          <w:szCs w:val="32"/>
          <w:u w:val="none"/>
          <w:lang w:val="en-US" w:eastAsia="zh-CN" w:bidi="ar"/>
        </w:rPr>
        <w:t>融机构总行出台差异化授信政策，在依法合规、风险可控前提下，推动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银行业金融机构向大宗商品企业专项授信超100亿元。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（责任单位：中国人民银行内蒙古自治区分行，自治区商务厅、地方金融管理局，各金融机构）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 w:val="0"/>
          <w:bCs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七、推动全区政府引导基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金总规模达到50亿元。</w:t>
      </w: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设立科技创新投资子基金，总规模不低于10亿元。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（责任单位：自治区工业和信息化厅、科技厅）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八、加力推进企业上市“天骏计划”，持续开展资本市场服务月活动，实现年内新增上市企业1至2家、辅导备案企业扩容至10家以上。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（责任单位：自治区地方金融管理局、内蒙古证监局）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outlineLvl w:val="9"/>
        <w:rPr>
          <w:rStyle w:val="4"/>
          <w:rFonts w:hint="eastAsia" w:ascii="方正楷体简体" w:hAnsi="方正楷体简体" w:eastAsia="方正楷体简体" w:cs="方正楷体简体"/>
          <w:b w:val="0"/>
          <w:bCs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九、提升农业保险精准理赔覆盖面，将理赔指标纳入保险机构绩效考评体系。建立大灾理赔绿色通道，提高农业保险理赔效率，做到应赔尽赔、能赔快赔。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（责任单位：内蒙古金融监管局、自治区财政厅，各保险机构）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hint="eastAsia" w:ascii="仿宋" w:hAnsi="仿宋" w:eastAsia="仿宋" w:cs="仿宋"/>
          <w:b w:val="0"/>
          <w:bCs/>
          <w:color w:val="000000"/>
          <w:w w:val="100"/>
          <w:kern w:val="0"/>
          <w:sz w:val="32"/>
          <w:szCs w:val="32"/>
          <w:u w:val="none"/>
          <w:lang w:val="en-US" w:eastAsia="zh-CN" w:bidi="ar"/>
        </w:rPr>
        <w:t>十、按照应贷尽贷原则，加大财政金融协同支持清欠工作力度</w:t>
      </w:r>
      <w:r>
        <w:rPr>
          <w:rStyle w:val="4"/>
          <w:rFonts w:hint="eastAsia" w:ascii="仿宋" w:hAnsi="仿宋" w:eastAsia="仿宋" w:cs="仿宋"/>
          <w:b w:val="0"/>
          <w:bCs/>
          <w:color w:val="auto"/>
          <w:w w:val="1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。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u w:val="none"/>
          <w:lang w:val="en-US" w:eastAsia="zh-CN" w:bidi="ar-SA"/>
        </w:rPr>
        <w:t>（责</w:t>
      </w:r>
      <w:r>
        <w:rPr>
          <w:rFonts w:hint="eastAsia" w:ascii="方正楷体简体" w:hAnsi="方正楷体简体" w:eastAsia="方正楷体简体" w:cs="方正楷体简体"/>
          <w:color w:val="000000"/>
          <w:kern w:val="2"/>
          <w:sz w:val="32"/>
          <w:szCs w:val="32"/>
          <w:highlight w:val="none"/>
          <w:lang w:val="en-US" w:eastAsia="zh-CN" w:bidi="ar-SA"/>
        </w:rPr>
        <w:t>任单位：中国人民银行内蒙古自治区分行、内蒙古金融监管局，自治区工业和信息化厅、财政厅、国资委、地方金融管理局，各金融机构）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1262"/>
    <w:rsid w:val="16F9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ascii="Calibri" w:hAnsi="Calibri" w:eastAsia="宋体" w:cs="Times New Roman"/>
      <w:b/>
    </w:rPr>
  </w:style>
  <w:style w:type="paragraph" w:customStyle="1" w:styleId="5">
    <w:name w:val="BodyText"/>
    <w:basedOn w:val="1"/>
    <w:qFormat/>
    <w:uiPriority w:val="0"/>
    <w:pPr>
      <w:spacing w:after="120"/>
    </w:pPr>
    <w:rPr>
      <w:rFonts w:ascii="Calibri" w:hAnsi="Calibri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2026-05-14T02:15:00Z</dcterms:created>
  <dc:creator>哈斯高娃:通知发起人</dc:creator>
  <cp:lastModifiedBy>哈斯高娃:通知发起人</cp:lastModifiedBy>
  <dcterms:modified xsi:type="dcterms:W3CDTF">2026-05-14T02:16:39Z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