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spacing w:line="240" w:lineRule="auto"/>
        <w:jc w:val="both"/>
        <w:outlineLvl w:val="0"/>
        <w:rPr>
          <w:rFonts w:hint="eastAsia" w:ascii="黑体" w:hAnsi="黑体" w:eastAsia="黑体" w:cs="黑体"/>
          <w:b w:val="0"/>
          <w:bCs w:val="0"/>
          <w:i w:val="0"/>
          <w:iCs w:val="0"/>
          <w:color w:val="000000"/>
          <w:kern w:val="0"/>
          <w:sz w:val="32"/>
          <w:szCs w:val="32"/>
          <w:u w:val="none"/>
          <w:lang w:val="en-US" w:eastAsia="zh-CN" w:bidi="ar"/>
        </w:rPr>
      </w:pPr>
      <w:bookmarkStart w:id="0" w:name="_Toc25511"/>
      <w:bookmarkStart w:id="1" w:name="_Toc15859"/>
      <w:r>
        <w:rPr>
          <w:rFonts w:hint="eastAsia" w:ascii="黑体" w:hAnsi="黑体" w:eastAsia="黑体" w:cs="黑体"/>
          <w:b w:val="0"/>
          <w:bCs w:val="0"/>
          <w:i w:val="0"/>
          <w:iCs w:val="0"/>
          <w:color w:val="000000"/>
          <w:kern w:val="0"/>
          <w:sz w:val="32"/>
          <w:szCs w:val="32"/>
          <w:u w:val="none"/>
          <w:lang w:val="en-US" w:eastAsia="zh-CN" w:bidi="ar"/>
        </w:rPr>
        <w:t>附件4</w:t>
      </w:r>
      <w:bookmarkEnd w:id="0"/>
      <w:bookmarkEnd w:id="1"/>
    </w:p>
    <w:p>
      <w:pPr>
        <w:pStyle w:val="2"/>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outlineLvl w:val="0"/>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pPr>
      <w:bookmarkStart w:id="2" w:name="_Toc31038"/>
      <w:bookmarkStart w:id="3" w:name="_Toc21680"/>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能源供应紧缺征兆判别参考标准</w:t>
      </w:r>
      <w:bookmarkEnd w:id="2"/>
      <w:bookmarkEnd w:id="3"/>
    </w:p>
    <w:p>
      <w:pPr>
        <w:pStyle w:val="2"/>
        <w:keepNext w:val="0"/>
        <w:keepLines w:val="0"/>
        <w:pageBreakBefore w:val="0"/>
        <w:widowControl w:val="0"/>
        <w:kinsoku/>
        <w:wordWrap/>
        <w:overflowPunct/>
        <w:autoSpaceDE/>
        <w:autoSpaceDN/>
        <w:bidi w:val="0"/>
        <w:adjustRightInd/>
        <w:snapToGrid/>
        <w:spacing w:line="580" w:lineRule="exact"/>
        <w:textAlignment w:val="auto"/>
        <w:rPr>
          <w:rFonts w:hint="eastAsia"/>
          <w:lang w:val="en-US" w:eastAsia="zh-CN"/>
        </w:rPr>
      </w:pPr>
    </w:p>
    <w:tbl>
      <w:tblPr>
        <w:tblStyle w:val="3"/>
        <w:tblW w:w="9059"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549"/>
        <w:gridCol w:w="751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12" w:hRule="atLeast"/>
          <w:tblHeader/>
        </w:trPr>
        <w:tc>
          <w:tcPr>
            <w:tcW w:w="1549"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line="360" w:lineRule="exact"/>
              <w:jc w:val="center"/>
              <w:textAlignment w:val="top"/>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预警指标</w:t>
            </w:r>
          </w:p>
        </w:tc>
        <w:tc>
          <w:tcPr>
            <w:tcW w:w="7510"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line="360" w:lineRule="exact"/>
              <w:jc w:val="center"/>
              <w:textAlignment w:val="top"/>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预警参考标准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12" w:hRule="atLeast"/>
          <w:tblHeader/>
        </w:trPr>
        <w:tc>
          <w:tcPr>
            <w:tcW w:w="1549" w:type="dxa"/>
            <w:vMerge w:val="continue"/>
            <w:tcBorders>
              <w:tl2br w:val="nil"/>
              <w:tr2bl w:val="nil"/>
            </w:tcBorders>
            <w:noWrap w:val="0"/>
            <w:vAlign w:val="top"/>
          </w:tcPr>
          <w:p>
            <w:pPr>
              <w:keepNext w:val="0"/>
              <w:keepLines w:val="0"/>
              <w:pageBreakBefore w:val="0"/>
              <w:widowControl w:val="0"/>
              <w:kinsoku/>
              <w:wordWrap/>
              <w:overflowPunct/>
              <w:topLinePunct/>
              <w:autoSpaceDE/>
              <w:autoSpaceDN/>
              <w:bidi w:val="0"/>
              <w:adjustRightInd/>
              <w:snapToGrid/>
              <w:spacing w:line="360" w:lineRule="exact"/>
              <w:jc w:val="center"/>
              <w:rPr>
                <w:rFonts w:hint="eastAsia" w:ascii="仿宋" w:hAnsi="仿宋" w:eastAsia="仿宋" w:cs="仿宋"/>
                <w:b w:val="0"/>
                <w:bCs w:val="0"/>
                <w:i w:val="0"/>
                <w:iCs w:val="0"/>
                <w:color w:val="000000"/>
                <w:sz w:val="28"/>
                <w:szCs w:val="28"/>
                <w:u w:val="none"/>
              </w:rPr>
            </w:pPr>
          </w:p>
        </w:tc>
        <w:tc>
          <w:tcPr>
            <w:tcW w:w="7510" w:type="dxa"/>
            <w:vMerge w:val="continue"/>
            <w:tcBorders>
              <w:tl2br w:val="nil"/>
              <w:tr2bl w:val="nil"/>
            </w:tcBorders>
            <w:noWrap w:val="0"/>
            <w:vAlign w:val="top"/>
          </w:tcPr>
          <w:p>
            <w:pPr>
              <w:keepNext w:val="0"/>
              <w:keepLines w:val="0"/>
              <w:pageBreakBefore w:val="0"/>
              <w:widowControl w:val="0"/>
              <w:kinsoku/>
              <w:wordWrap/>
              <w:overflowPunct/>
              <w:topLinePunct/>
              <w:autoSpaceDE/>
              <w:autoSpaceDN/>
              <w:bidi w:val="0"/>
              <w:adjustRightInd/>
              <w:snapToGrid/>
              <w:spacing w:line="360" w:lineRule="exact"/>
              <w:jc w:val="both"/>
              <w:rPr>
                <w:rFonts w:hint="eastAsia" w:ascii="仿宋" w:hAnsi="仿宋" w:eastAsia="仿宋" w:cs="仿宋"/>
                <w:b w:val="0"/>
                <w:bCs w:val="0"/>
                <w:i w:val="0"/>
                <w:iCs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255" w:hRule="atLeast"/>
        </w:trPr>
        <w:tc>
          <w:tcPr>
            <w:tcW w:w="1549"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line="360" w:lineRule="exact"/>
              <w:jc w:val="center"/>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C0C0C"/>
                <w:kern w:val="0"/>
                <w:sz w:val="28"/>
                <w:szCs w:val="28"/>
                <w:u w:val="none"/>
                <w:lang w:val="en-US" w:eastAsia="zh-CN" w:bidi="ar"/>
              </w:rPr>
              <w:t>天然</w:t>
            </w:r>
            <w:r>
              <w:rPr>
                <w:rFonts w:hint="eastAsia" w:ascii="仿宋" w:hAnsi="仿宋" w:eastAsia="仿宋" w:cs="仿宋"/>
                <w:b w:val="0"/>
                <w:bCs w:val="0"/>
                <w:i w:val="0"/>
                <w:iCs w:val="0"/>
                <w:color w:val="000000"/>
                <w:kern w:val="0"/>
                <w:sz w:val="28"/>
                <w:szCs w:val="28"/>
                <w:u w:val="none"/>
                <w:lang w:val="en-US" w:eastAsia="zh-CN" w:bidi="ar"/>
              </w:rPr>
              <w:t>气、</w:t>
            </w:r>
          </w:p>
          <w:p>
            <w:pPr>
              <w:keepNext w:val="0"/>
              <w:keepLines w:val="0"/>
              <w:pageBreakBefore w:val="0"/>
              <w:widowControl w:val="0"/>
              <w:suppressLineNumbers w:val="0"/>
              <w:kinsoku/>
              <w:wordWrap/>
              <w:overflowPunct/>
              <w:topLinePunct/>
              <w:autoSpaceDE/>
              <w:autoSpaceDN/>
              <w:bidi w:val="0"/>
              <w:adjustRightInd/>
              <w:snapToGrid/>
              <w:spacing w:line="360" w:lineRule="exact"/>
              <w:jc w:val="center"/>
              <w:textAlignment w:val="center"/>
              <w:rPr>
                <w:rFonts w:hint="eastAsia" w:ascii="仿宋" w:hAnsi="仿宋" w:eastAsia="仿宋" w:cs="仿宋"/>
                <w:b w:val="0"/>
                <w:bCs w:val="0"/>
                <w:i w:val="0"/>
                <w:iCs w:val="0"/>
                <w:color w:val="0C0C0C"/>
                <w:sz w:val="28"/>
                <w:szCs w:val="28"/>
                <w:u w:val="none"/>
              </w:rPr>
            </w:pPr>
            <w:r>
              <w:rPr>
                <w:rFonts w:hint="eastAsia" w:ascii="仿宋" w:hAnsi="仿宋" w:eastAsia="仿宋" w:cs="仿宋"/>
                <w:b w:val="0"/>
                <w:bCs w:val="0"/>
                <w:i w:val="0"/>
                <w:iCs w:val="0"/>
                <w:color w:val="000000"/>
                <w:kern w:val="0"/>
                <w:sz w:val="28"/>
                <w:szCs w:val="28"/>
                <w:u w:val="none"/>
                <w:lang w:val="en-US" w:eastAsia="zh-CN" w:bidi="ar"/>
              </w:rPr>
              <w:t>成品</w:t>
            </w:r>
            <w:r>
              <w:rPr>
                <w:rFonts w:hint="eastAsia" w:ascii="仿宋" w:hAnsi="仿宋" w:eastAsia="仿宋" w:cs="仿宋"/>
                <w:b w:val="0"/>
                <w:bCs w:val="0"/>
                <w:i w:val="0"/>
                <w:iCs w:val="0"/>
                <w:color w:val="0C0C0C"/>
                <w:kern w:val="0"/>
                <w:sz w:val="28"/>
                <w:szCs w:val="28"/>
                <w:u w:val="none"/>
                <w:lang w:val="en-US" w:eastAsia="zh-CN" w:bidi="ar"/>
              </w:rPr>
              <w:t>油</w:t>
            </w:r>
          </w:p>
        </w:tc>
        <w:tc>
          <w:tcPr>
            <w:tcW w:w="7510" w:type="dxa"/>
            <w:tcBorders>
              <w:tl2br w:val="nil"/>
              <w:tr2bl w:val="nil"/>
            </w:tcBorders>
            <w:noWrap w:val="0"/>
            <w:vAlign w:val="top"/>
          </w:tcPr>
          <w:p>
            <w:pPr>
              <w:keepNext w:val="0"/>
              <w:keepLines w:val="0"/>
              <w:pageBreakBefore w:val="0"/>
              <w:widowControl w:val="0"/>
              <w:suppressLineNumbers w:val="0"/>
              <w:kinsoku/>
              <w:wordWrap/>
              <w:overflowPunct/>
              <w:topLinePunct/>
              <w:autoSpaceDE/>
              <w:autoSpaceDN/>
              <w:bidi w:val="0"/>
              <w:adjustRightInd/>
              <w:snapToGrid/>
              <w:spacing w:line="340" w:lineRule="exact"/>
              <w:ind w:firstLine="560" w:firstLineChars="200"/>
              <w:jc w:val="both"/>
              <w:textAlignment w:val="center"/>
              <w:rPr>
                <w:rFonts w:hint="eastAsia" w:ascii="仿宋" w:hAnsi="仿宋" w:eastAsia="仿宋" w:cs="仿宋"/>
                <w:b w:val="0"/>
                <w:bCs w:val="0"/>
                <w:i w:val="0"/>
                <w:iCs w:val="0"/>
                <w:color w:val="0C0C0C"/>
                <w:sz w:val="28"/>
                <w:szCs w:val="28"/>
                <w:u w:val="none"/>
              </w:rPr>
            </w:pPr>
            <w:r>
              <w:rPr>
                <w:rFonts w:hint="eastAsia" w:ascii="仿宋" w:hAnsi="仿宋" w:eastAsia="仿宋" w:cs="仿宋"/>
                <w:b w:val="0"/>
                <w:bCs w:val="0"/>
                <w:i w:val="0"/>
                <w:iCs w:val="0"/>
                <w:color w:val="0C0C0C"/>
                <w:kern w:val="0"/>
                <w:sz w:val="28"/>
                <w:szCs w:val="28"/>
                <w:u w:val="none"/>
                <w:lang w:val="en-US" w:eastAsia="zh-CN" w:bidi="ar"/>
              </w:rPr>
              <w:t>1.一级预警（红色）：天然气、成品油销售内蒙古区域公司可供应资源量减少达到当月销售计划的30%以上，或在极端天气情况下民生用气需求量、社会成品油需求量增加60%以上，即将触发减限供应事件发生。</w:t>
            </w:r>
            <w:r>
              <w:rPr>
                <w:rFonts w:hint="eastAsia" w:ascii="仿宋" w:hAnsi="仿宋" w:eastAsia="仿宋" w:cs="仿宋"/>
                <w:b w:val="0"/>
                <w:bCs w:val="0"/>
                <w:i w:val="0"/>
                <w:iCs w:val="0"/>
                <w:color w:val="0C0C0C"/>
                <w:kern w:val="0"/>
                <w:sz w:val="28"/>
                <w:szCs w:val="28"/>
                <w:u w:val="none"/>
                <w:lang w:val="en-US" w:eastAsia="zh-CN" w:bidi="ar"/>
              </w:rPr>
              <w:br w:type="textWrapping"/>
            </w:r>
            <w:r>
              <w:rPr>
                <w:rFonts w:hint="eastAsia" w:ascii="仿宋" w:hAnsi="仿宋" w:eastAsia="仿宋" w:cs="仿宋"/>
                <w:b w:val="0"/>
                <w:bCs w:val="0"/>
                <w:i w:val="0"/>
                <w:iCs w:val="0"/>
                <w:color w:val="0C0C0C"/>
                <w:kern w:val="0"/>
                <w:sz w:val="28"/>
                <w:szCs w:val="28"/>
                <w:u w:val="none"/>
                <w:lang w:val="en-US" w:eastAsia="zh-CN" w:bidi="ar"/>
              </w:rPr>
              <w:t xml:space="preserve">    2.二级预警（橙色）：天然气、成品油销售内蒙古区域公司可供应资源量减少达到当月销售计划的20%以上，或在极端天气情况下民生用气需求量、社会成品油需求量增加40%以上，可能触发减限供应事件发生。</w:t>
            </w:r>
            <w:r>
              <w:rPr>
                <w:rFonts w:hint="eastAsia" w:ascii="仿宋" w:hAnsi="仿宋" w:eastAsia="仿宋" w:cs="仿宋"/>
                <w:b w:val="0"/>
                <w:bCs w:val="0"/>
                <w:i w:val="0"/>
                <w:iCs w:val="0"/>
                <w:color w:val="0C0C0C"/>
                <w:kern w:val="0"/>
                <w:sz w:val="28"/>
                <w:szCs w:val="28"/>
                <w:u w:val="none"/>
                <w:lang w:val="en-US" w:eastAsia="zh-CN" w:bidi="ar"/>
              </w:rPr>
              <w:br w:type="textWrapping"/>
            </w:r>
            <w:r>
              <w:rPr>
                <w:rFonts w:hint="eastAsia" w:ascii="仿宋" w:hAnsi="仿宋" w:eastAsia="仿宋" w:cs="仿宋"/>
                <w:b w:val="0"/>
                <w:bCs w:val="0"/>
                <w:i w:val="0"/>
                <w:iCs w:val="0"/>
                <w:color w:val="0C0C0C"/>
                <w:kern w:val="0"/>
                <w:sz w:val="28"/>
                <w:szCs w:val="28"/>
                <w:u w:val="none"/>
                <w:lang w:val="en-US" w:eastAsia="zh-CN" w:bidi="ar"/>
              </w:rPr>
              <w:t xml:space="preserve">    3.三级预警（黄色）：天然气、成品油销售内蒙古区域公司可供应资源量减少达到当月销售计划的10%以上，或在极端天气情况下民生用气需求量、社会成品油需求量增加20%以上。</w:t>
            </w:r>
            <w:r>
              <w:rPr>
                <w:rFonts w:hint="eastAsia" w:ascii="仿宋" w:hAnsi="仿宋" w:eastAsia="仿宋" w:cs="仿宋"/>
                <w:b w:val="0"/>
                <w:bCs w:val="0"/>
                <w:i w:val="0"/>
                <w:iCs w:val="0"/>
                <w:color w:val="0C0C0C"/>
                <w:kern w:val="0"/>
                <w:sz w:val="28"/>
                <w:szCs w:val="28"/>
                <w:u w:val="none"/>
                <w:lang w:val="en-US" w:eastAsia="zh-CN" w:bidi="ar"/>
              </w:rPr>
              <w:br w:type="textWrapping"/>
            </w:r>
            <w:r>
              <w:rPr>
                <w:rFonts w:hint="eastAsia" w:ascii="仿宋" w:hAnsi="仿宋" w:eastAsia="仿宋" w:cs="仿宋"/>
                <w:b w:val="0"/>
                <w:bCs w:val="0"/>
                <w:i w:val="0"/>
                <w:iCs w:val="0"/>
                <w:color w:val="0C0C0C"/>
                <w:kern w:val="0"/>
                <w:sz w:val="28"/>
                <w:szCs w:val="28"/>
                <w:u w:val="none"/>
                <w:lang w:val="en-US" w:eastAsia="zh-CN" w:bidi="ar"/>
              </w:rPr>
              <w:t xml:space="preserve">    4.四级预警（蓝色）：因极寒天气、管道及油气田故障等极端情况，可能引发的资源供应风险，后续将难以充分满足需求量（如：合同量加额外气量）稳定供应，并一定程度上威胁到基本需求量（如：合同气量）。</w:t>
            </w:r>
            <w:r>
              <w:rPr>
                <w:rFonts w:hint="eastAsia" w:ascii="仿宋" w:hAnsi="仿宋" w:eastAsia="仿宋" w:cs="仿宋"/>
                <w:b w:val="0"/>
                <w:bCs w:val="0"/>
                <w:i w:val="0"/>
                <w:iCs w:val="0"/>
                <w:color w:val="0C0C0C"/>
                <w:kern w:val="0"/>
                <w:sz w:val="28"/>
                <w:szCs w:val="28"/>
                <w:u w:val="none"/>
                <w:lang w:val="en-US" w:eastAsia="zh-CN" w:bidi="ar"/>
              </w:rPr>
              <w:br w:type="textWrapping"/>
            </w:r>
            <w:r>
              <w:rPr>
                <w:rFonts w:hint="eastAsia" w:ascii="仿宋" w:hAnsi="仿宋" w:eastAsia="仿宋" w:cs="仿宋"/>
                <w:b w:val="0"/>
                <w:bCs w:val="0"/>
                <w:i w:val="0"/>
                <w:iCs w:val="0"/>
                <w:color w:val="0C0C0C"/>
                <w:kern w:val="0"/>
                <w:sz w:val="28"/>
                <w:szCs w:val="28"/>
                <w:u w:val="none"/>
                <w:lang w:val="en-US" w:eastAsia="zh-CN" w:bidi="ar"/>
              </w:rPr>
              <w:t xml:space="preserve">    以上标准中，“以上”含本数，“以下”不含本数。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851" w:hRule="atLeast"/>
        </w:trPr>
        <w:tc>
          <w:tcPr>
            <w:tcW w:w="1549"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line="340" w:lineRule="exact"/>
              <w:jc w:val="center"/>
              <w:textAlignment w:val="center"/>
              <w:rPr>
                <w:rFonts w:hint="eastAsia" w:ascii="仿宋" w:hAnsi="仿宋" w:eastAsia="仿宋" w:cs="仿宋"/>
                <w:b w:val="0"/>
                <w:bCs w:val="0"/>
                <w:i w:val="0"/>
                <w:iCs w:val="0"/>
                <w:color w:val="0C0C0C"/>
                <w:sz w:val="28"/>
                <w:szCs w:val="28"/>
                <w:u w:val="none"/>
              </w:rPr>
            </w:pPr>
            <w:r>
              <w:rPr>
                <w:rFonts w:hint="eastAsia" w:ascii="仿宋" w:hAnsi="仿宋" w:eastAsia="仿宋" w:cs="仿宋"/>
                <w:b w:val="0"/>
                <w:bCs w:val="0"/>
                <w:i w:val="0"/>
                <w:iCs w:val="0"/>
                <w:color w:val="0C0C0C"/>
                <w:kern w:val="0"/>
                <w:sz w:val="28"/>
                <w:szCs w:val="28"/>
                <w:u w:val="none"/>
                <w:lang w:val="en-US" w:eastAsia="zh-CN" w:bidi="ar"/>
              </w:rPr>
              <w:t>电煤</w:t>
            </w:r>
          </w:p>
        </w:tc>
        <w:tc>
          <w:tcPr>
            <w:tcW w:w="7510"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line="340" w:lineRule="exact"/>
              <w:ind w:firstLine="560" w:firstLineChars="200"/>
              <w:jc w:val="both"/>
              <w:textAlignment w:val="center"/>
              <w:rPr>
                <w:rFonts w:hint="eastAsia" w:ascii="仿宋" w:hAnsi="仿宋" w:eastAsia="仿宋" w:cs="仿宋"/>
                <w:b w:val="0"/>
                <w:bCs w:val="0"/>
                <w:i w:val="0"/>
                <w:iCs w:val="0"/>
                <w:color w:val="0C0C0C"/>
                <w:sz w:val="28"/>
                <w:szCs w:val="28"/>
                <w:u w:val="none"/>
              </w:rPr>
            </w:pPr>
            <w:r>
              <w:rPr>
                <w:rFonts w:hint="eastAsia" w:ascii="仿宋" w:hAnsi="仿宋" w:eastAsia="仿宋" w:cs="仿宋"/>
                <w:b w:val="0"/>
                <w:bCs w:val="0"/>
                <w:i w:val="0"/>
                <w:iCs w:val="0"/>
                <w:color w:val="0C0C0C"/>
                <w:kern w:val="0"/>
                <w:sz w:val="28"/>
                <w:szCs w:val="28"/>
                <w:u w:val="none"/>
                <w:lang w:val="en-US" w:eastAsia="zh-CN" w:bidi="ar"/>
              </w:rPr>
              <w:t>1.一级预警（红色）：区内统调电厂存在电煤库存3天以下情况，用煤异常紧张，主力发电机组面临非计划停机，可能造成电网大面积停限电，从而对经济生活产生较大影响。</w:t>
            </w:r>
            <w:r>
              <w:rPr>
                <w:rFonts w:hint="eastAsia" w:ascii="仿宋" w:hAnsi="仿宋" w:eastAsia="仿宋" w:cs="仿宋"/>
                <w:b w:val="0"/>
                <w:bCs w:val="0"/>
                <w:i w:val="0"/>
                <w:iCs w:val="0"/>
                <w:color w:val="0C0C0C"/>
                <w:kern w:val="0"/>
                <w:sz w:val="28"/>
                <w:szCs w:val="28"/>
                <w:u w:val="none"/>
                <w:lang w:val="en-US" w:eastAsia="zh-CN" w:bidi="ar"/>
              </w:rPr>
              <w:br w:type="textWrapping"/>
            </w:r>
            <w:r>
              <w:rPr>
                <w:rFonts w:hint="eastAsia" w:ascii="仿宋" w:hAnsi="仿宋" w:eastAsia="仿宋" w:cs="仿宋"/>
                <w:b w:val="0"/>
                <w:bCs w:val="0"/>
                <w:i w:val="0"/>
                <w:iCs w:val="0"/>
                <w:color w:val="0C0C0C"/>
                <w:kern w:val="0"/>
                <w:sz w:val="28"/>
                <w:szCs w:val="28"/>
                <w:u w:val="none"/>
                <w:lang w:val="en-US" w:eastAsia="zh-CN" w:bidi="ar"/>
              </w:rPr>
              <w:t xml:space="preserve">    2.二级预警（橙色）：区内统调电厂存在电煤库存5天以下—3天以上情况，用煤紧张，可能引起主力发电机组非计划停机，造成电力供应紧张。</w:t>
            </w:r>
            <w:r>
              <w:rPr>
                <w:rFonts w:hint="eastAsia" w:ascii="仿宋" w:hAnsi="仿宋" w:eastAsia="仿宋" w:cs="仿宋"/>
                <w:b w:val="0"/>
                <w:bCs w:val="0"/>
                <w:i w:val="0"/>
                <w:iCs w:val="0"/>
                <w:color w:val="0C0C0C"/>
                <w:kern w:val="0"/>
                <w:sz w:val="28"/>
                <w:szCs w:val="28"/>
                <w:u w:val="none"/>
                <w:lang w:val="en-US" w:eastAsia="zh-CN" w:bidi="ar"/>
              </w:rPr>
              <w:br w:type="textWrapping"/>
            </w:r>
            <w:r>
              <w:rPr>
                <w:rFonts w:hint="eastAsia" w:ascii="仿宋" w:hAnsi="仿宋" w:eastAsia="仿宋" w:cs="仿宋"/>
                <w:b w:val="0"/>
                <w:bCs w:val="0"/>
                <w:i w:val="0"/>
                <w:iCs w:val="0"/>
                <w:color w:val="0C0C0C"/>
                <w:kern w:val="0"/>
                <w:sz w:val="28"/>
                <w:szCs w:val="28"/>
                <w:u w:val="none"/>
                <w:lang w:val="en-US" w:eastAsia="zh-CN" w:bidi="ar"/>
              </w:rPr>
              <w:t xml:space="preserve">    3.三级预警（黄色）：区内统调电厂存在电煤库存10天以下—5天以上情况，用煤较为紧张。</w:t>
            </w:r>
            <w:r>
              <w:rPr>
                <w:rFonts w:hint="eastAsia" w:ascii="仿宋" w:hAnsi="仿宋" w:eastAsia="仿宋" w:cs="仿宋"/>
                <w:b w:val="0"/>
                <w:bCs w:val="0"/>
                <w:i w:val="0"/>
                <w:iCs w:val="0"/>
                <w:color w:val="0C0C0C"/>
                <w:kern w:val="0"/>
                <w:sz w:val="28"/>
                <w:szCs w:val="28"/>
                <w:u w:val="none"/>
                <w:lang w:val="en-US" w:eastAsia="zh-CN" w:bidi="ar"/>
              </w:rPr>
              <w:br w:type="textWrapping"/>
            </w:r>
            <w:r>
              <w:rPr>
                <w:rFonts w:hint="eastAsia" w:ascii="仿宋" w:hAnsi="仿宋" w:eastAsia="仿宋" w:cs="仿宋"/>
                <w:b w:val="0"/>
                <w:bCs w:val="0"/>
                <w:i w:val="0"/>
                <w:iCs w:val="0"/>
                <w:color w:val="0C0C0C"/>
                <w:kern w:val="0"/>
                <w:sz w:val="28"/>
                <w:szCs w:val="28"/>
                <w:u w:val="none"/>
                <w:lang w:val="en-US" w:eastAsia="zh-CN" w:bidi="ar"/>
              </w:rPr>
              <w:t xml:space="preserve">    4.四级预警（蓝色）：区内统调电厂存在电煤库存15天以下—10天以上情况，用煤相对紧张。</w:t>
            </w:r>
            <w:r>
              <w:rPr>
                <w:rFonts w:hint="eastAsia" w:ascii="仿宋" w:hAnsi="仿宋" w:eastAsia="仿宋" w:cs="仿宋"/>
                <w:b w:val="0"/>
                <w:bCs w:val="0"/>
                <w:i w:val="0"/>
                <w:iCs w:val="0"/>
                <w:color w:val="0C0C0C"/>
                <w:kern w:val="0"/>
                <w:sz w:val="28"/>
                <w:szCs w:val="28"/>
                <w:u w:val="none"/>
                <w:lang w:val="en-US" w:eastAsia="zh-CN" w:bidi="ar"/>
              </w:rPr>
              <w:br w:type="textWrapping"/>
            </w:r>
            <w:r>
              <w:rPr>
                <w:rFonts w:hint="eastAsia" w:ascii="仿宋" w:hAnsi="仿宋" w:eastAsia="仿宋" w:cs="仿宋"/>
                <w:b w:val="0"/>
                <w:bCs w:val="0"/>
                <w:i w:val="0"/>
                <w:iCs w:val="0"/>
                <w:color w:val="0C0C0C"/>
                <w:kern w:val="0"/>
                <w:sz w:val="28"/>
                <w:szCs w:val="28"/>
                <w:u w:val="none"/>
                <w:lang w:val="en-US" w:eastAsia="zh-CN" w:bidi="ar"/>
              </w:rPr>
              <w:t xml:space="preserve">    以上标准中，“以上”含本数，“以下”不含本数。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383" w:hRule="atLeast"/>
        </w:trPr>
        <w:tc>
          <w:tcPr>
            <w:tcW w:w="1549"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line="340" w:lineRule="exact"/>
              <w:jc w:val="center"/>
              <w:textAlignment w:val="center"/>
              <w:rPr>
                <w:rFonts w:hint="eastAsia" w:ascii="仿宋" w:hAnsi="仿宋" w:eastAsia="仿宋" w:cs="仿宋"/>
                <w:b w:val="0"/>
                <w:bCs w:val="0"/>
                <w:i w:val="0"/>
                <w:iCs w:val="0"/>
                <w:color w:val="0C0C0C"/>
                <w:sz w:val="28"/>
                <w:szCs w:val="28"/>
                <w:u w:val="none"/>
              </w:rPr>
            </w:pPr>
            <w:r>
              <w:rPr>
                <w:rFonts w:hint="eastAsia" w:ascii="仿宋" w:hAnsi="仿宋" w:eastAsia="仿宋" w:cs="仿宋"/>
                <w:b w:val="0"/>
                <w:bCs w:val="0"/>
                <w:i w:val="0"/>
                <w:iCs w:val="0"/>
                <w:color w:val="0C0C0C"/>
                <w:kern w:val="0"/>
                <w:sz w:val="28"/>
                <w:szCs w:val="28"/>
                <w:u w:val="none"/>
                <w:lang w:val="en-US" w:eastAsia="zh-CN" w:bidi="ar"/>
              </w:rPr>
              <w:t>电力</w:t>
            </w:r>
          </w:p>
        </w:tc>
        <w:tc>
          <w:tcPr>
            <w:tcW w:w="7510"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line="340" w:lineRule="exact"/>
              <w:ind w:firstLine="560" w:firstLineChars="200"/>
              <w:jc w:val="both"/>
              <w:textAlignment w:val="center"/>
              <w:rPr>
                <w:rFonts w:hint="eastAsia" w:ascii="仿宋" w:hAnsi="仿宋" w:eastAsia="仿宋" w:cs="仿宋"/>
                <w:b w:val="0"/>
                <w:bCs w:val="0"/>
                <w:i w:val="0"/>
                <w:iCs w:val="0"/>
                <w:color w:val="0C0C0C"/>
                <w:sz w:val="28"/>
                <w:szCs w:val="28"/>
                <w:u w:val="none"/>
              </w:rPr>
            </w:pPr>
            <w:r>
              <w:rPr>
                <w:rFonts w:hint="eastAsia" w:ascii="仿宋" w:hAnsi="仿宋" w:eastAsia="仿宋" w:cs="仿宋"/>
                <w:b w:val="0"/>
                <w:bCs w:val="0"/>
                <w:i w:val="0"/>
                <w:iCs w:val="0"/>
                <w:color w:val="0C0C0C"/>
                <w:kern w:val="0"/>
                <w:sz w:val="28"/>
                <w:szCs w:val="28"/>
                <w:u w:val="none"/>
                <w:lang w:val="en-US" w:eastAsia="zh-CN" w:bidi="ar"/>
              </w:rPr>
              <w:t>1.一级预警（红色）：蒙西电网和蒙东电网电力或电量缺口占当期最大用电需求的20%以上。</w:t>
            </w:r>
            <w:r>
              <w:rPr>
                <w:rFonts w:hint="eastAsia" w:ascii="仿宋" w:hAnsi="仿宋" w:eastAsia="仿宋" w:cs="仿宋"/>
                <w:b w:val="0"/>
                <w:bCs w:val="0"/>
                <w:i w:val="0"/>
                <w:iCs w:val="0"/>
                <w:color w:val="0C0C0C"/>
                <w:kern w:val="0"/>
                <w:sz w:val="28"/>
                <w:szCs w:val="28"/>
                <w:u w:val="none"/>
                <w:lang w:val="en-US" w:eastAsia="zh-CN" w:bidi="ar"/>
              </w:rPr>
              <w:br w:type="textWrapping"/>
            </w:r>
            <w:r>
              <w:rPr>
                <w:rFonts w:hint="eastAsia" w:ascii="仿宋" w:hAnsi="仿宋" w:eastAsia="仿宋" w:cs="仿宋"/>
                <w:b w:val="0"/>
                <w:bCs w:val="0"/>
                <w:i w:val="0"/>
                <w:iCs w:val="0"/>
                <w:color w:val="0C0C0C"/>
                <w:kern w:val="0"/>
                <w:sz w:val="28"/>
                <w:szCs w:val="28"/>
                <w:u w:val="none"/>
                <w:lang w:val="en-US" w:eastAsia="zh-CN" w:bidi="ar"/>
              </w:rPr>
              <w:t xml:space="preserve">    2.二级预警（橙色）蒙西电网和蒙东电网电力或电量缺口占当期最大用电需求的10%以上—20%以下。</w:t>
            </w:r>
            <w:r>
              <w:rPr>
                <w:rFonts w:hint="eastAsia" w:ascii="仿宋" w:hAnsi="仿宋" w:eastAsia="仿宋" w:cs="仿宋"/>
                <w:b w:val="0"/>
                <w:bCs w:val="0"/>
                <w:i w:val="0"/>
                <w:iCs w:val="0"/>
                <w:color w:val="0C0C0C"/>
                <w:kern w:val="0"/>
                <w:sz w:val="28"/>
                <w:szCs w:val="28"/>
                <w:u w:val="none"/>
                <w:lang w:val="en-US" w:eastAsia="zh-CN" w:bidi="ar"/>
              </w:rPr>
              <w:br w:type="textWrapping"/>
            </w:r>
            <w:r>
              <w:rPr>
                <w:rFonts w:hint="eastAsia" w:ascii="仿宋" w:hAnsi="仿宋" w:eastAsia="仿宋" w:cs="仿宋"/>
                <w:b w:val="0"/>
                <w:bCs w:val="0"/>
                <w:i w:val="0"/>
                <w:iCs w:val="0"/>
                <w:color w:val="0C0C0C"/>
                <w:kern w:val="0"/>
                <w:sz w:val="28"/>
                <w:szCs w:val="28"/>
                <w:u w:val="none"/>
                <w:lang w:val="en-US" w:eastAsia="zh-CN" w:bidi="ar"/>
              </w:rPr>
              <w:t xml:space="preserve">    3.三级预警（黄色）蒙西电网和蒙东电网电力或电量缺口占当期最大用电需求的5%以上—10%以下。</w:t>
            </w:r>
            <w:r>
              <w:rPr>
                <w:rFonts w:hint="eastAsia" w:ascii="仿宋" w:hAnsi="仿宋" w:eastAsia="仿宋" w:cs="仿宋"/>
                <w:b w:val="0"/>
                <w:bCs w:val="0"/>
                <w:i w:val="0"/>
                <w:iCs w:val="0"/>
                <w:color w:val="0C0C0C"/>
                <w:kern w:val="0"/>
                <w:sz w:val="28"/>
                <w:szCs w:val="28"/>
                <w:u w:val="none"/>
                <w:lang w:val="en-US" w:eastAsia="zh-CN" w:bidi="ar"/>
              </w:rPr>
              <w:br w:type="textWrapping"/>
            </w:r>
            <w:r>
              <w:rPr>
                <w:rFonts w:hint="eastAsia" w:ascii="仿宋" w:hAnsi="仿宋" w:eastAsia="仿宋" w:cs="仿宋"/>
                <w:b w:val="0"/>
                <w:bCs w:val="0"/>
                <w:i w:val="0"/>
                <w:iCs w:val="0"/>
                <w:color w:val="0C0C0C"/>
                <w:kern w:val="0"/>
                <w:sz w:val="28"/>
                <w:szCs w:val="28"/>
                <w:u w:val="none"/>
                <w:lang w:val="en-US" w:eastAsia="zh-CN" w:bidi="ar"/>
              </w:rPr>
              <w:t xml:space="preserve">    4.四级预警（蓝色）蒙西电网和蒙东电网电力或电量缺口占当期最大用电需求的5%以下。</w:t>
            </w:r>
            <w:r>
              <w:rPr>
                <w:rFonts w:hint="eastAsia" w:ascii="仿宋" w:hAnsi="仿宋" w:eastAsia="仿宋" w:cs="仿宋"/>
                <w:b w:val="0"/>
                <w:bCs w:val="0"/>
                <w:i w:val="0"/>
                <w:iCs w:val="0"/>
                <w:color w:val="0C0C0C"/>
                <w:kern w:val="0"/>
                <w:sz w:val="28"/>
                <w:szCs w:val="28"/>
                <w:u w:val="none"/>
                <w:lang w:val="en-US" w:eastAsia="zh-CN" w:bidi="ar"/>
              </w:rPr>
              <w:br w:type="textWrapping"/>
            </w:r>
            <w:r>
              <w:rPr>
                <w:rFonts w:hint="eastAsia" w:ascii="仿宋" w:hAnsi="仿宋" w:eastAsia="仿宋" w:cs="仿宋"/>
                <w:b w:val="0"/>
                <w:bCs w:val="0"/>
                <w:i w:val="0"/>
                <w:iCs w:val="0"/>
                <w:color w:val="0C0C0C"/>
                <w:kern w:val="0"/>
                <w:sz w:val="28"/>
                <w:szCs w:val="28"/>
                <w:u w:val="none"/>
                <w:lang w:val="en-US" w:eastAsia="zh-CN" w:bidi="ar"/>
              </w:rPr>
              <w:t xml:space="preserve">    以上标准中，“以上”含本数，“以下”不含本数。</w:t>
            </w:r>
          </w:p>
        </w:tc>
      </w:tr>
    </w:tbl>
    <w:p>
      <w:pPr>
        <w:keepNext w:val="0"/>
        <w:keepLines w:val="0"/>
        <w:pageBreakBefore w:val="0"/>
        <w:widowControl w:val="0"/>
        <w:suppressLineNumbers w:val="0"/>
        <w:kinsoku/>
        <w:wordWrap/>
        <w:overflowPunct/>
        <w:topLinePunct/>
        <w:autoSpaceDE/>
        <w:autoSpaceDN/>
        <w:bidi w:val="0"/>
        <w:spacing w:line="320" w:lineRule="exact"/>
        <w:jc w:val="both"/>
        <w:textAlignment w:val="center"/>
        <w:rPr>
          <w:rFonts w:hint="eastAsia" w:ascii="楷体" w:hAnsi="楷体" w:eastAsia="楷体" w:cs="楷体"/>
          <w:b w:val="0"/>
          <w:bCs w:val="0"/>
          <w:i w:val="0"/>
          <w:iCs w:val="0"/>
          <w:color w:val="0C0C0C"/>
          <w:kern w:val="0"/>
          <w:sz w:val="28"/>
          <w:szCs w:val="28"/>
          <w:u w:val="none"/>
          <w:lang w:val="en-US" w:eastAsia="zh-CN" w:bidi="ar"/>
        </w:rPr>
      </w:pPr>
      <w:r>
        <w:rPr>
          <w:rFonts w:hint="eastAsia" w:ascii="黑体" w:hAnsi="黑体" w:eastAsia="黑体" w:cs="黑体"/>
          <w:b w:val="0"/>
          <w:bCs w:val="0"/>
          <w:i w:val="0"/>
          <w:iCs w:val="0"/>
          <w:color w:val="0C0C0C"/>
          <w:kern w:val="0"/>
          <w:sz w:val="28"/>
          <w:szCs w:val="28"/>
          <w:u w:val="none"/>
          <w:lang w:val="en-US" w:eastAsia="zh-CN" w:bidi="ar"/>
        </w:rPr>
        <w:t>注：</w:t>
      </w:r>
      <w:r>
        <w:rPr>
          <w:rFonts w:hint="eastAsia" w:ascii="楷体" w:hAnsi="楷体" w:eastAsia="楷体" w:cs="楷体"/>
          <w:b w:val="0"/>
          <w:bCs w:val="0"/>
          <w:i w:val="0"/>
          <w:iCs w:val="0"/>
          <w:color w:val="0C0C0C"/>
          <w:spacing w:val="6"/>
          <w:kern w:val="0"/>
          <w:sz w:val="28"/>
          <w:szCs w:val="28"/>
          <w:u w:val="none"/>
          <w:lang w:val="en-US" w:eastAsia="zh-CN" w:bidi="ar"/>
        </w:rPr>
        <w:t>此标准可由自治区能源供应保障应急指挥部办公室根据工作经验和实际进行适当调整，以便更准确反映能源供应紧迫程度对社会造成</w:t>
      </w:r>
      <w:bookmarkStart w:id="4" w:name="_GoBack"/>
      <w:bookmarkEnd w:id="4"/>
      <w:r>
        <w:rPr>
          <w:rFonts w:hint="eastAsia" w:ascii="楷体" w:hAnsi="楷体" w:eastAsia="楷体" w:cs="楷体"/>
          <w:b w:val="0"/>
          <w:bCs w:val="0"/>
          <w:i w:val="0"/>
          <w:iCs w:val="0"/>
          <w:color w:val="0C0C0C"/>
          <w:spacing w:val="6"/>
          <w:kern w:val="0"/>
          <w:sz w:val="28"/>
          <w:szCs w:val="28"/>
          <w:u w:val="none"/>
          <w:lang w:val="en-US" w:eastAsia="zh-CN" w:bidi="ar"/>
        </w:rPr>
        <w:t>的影响。</w:t>
      </w:r>
    </w:p>
    <w:p>
      <w:pPr>
        <w:keepNext w:val="0"/>
        <w:keepLines w:val="0"/>
        <w:pageBreakBefore w:val="0"/>
        <w:widowControl w:val="0"/>
        <w:kinsoku/>
        <w:wordWrap/>
        <w:overflowPunct/>
        <w:topLinePunct/>
        <w:autoSpaceDE/>
        <w:autoSpaceDN/>
        <w:bidi w:val="0"/>
        <w:spacing w:before="156" w:beforeLines="50" w:line="360" w:lineRule="exact"/>
        <w:ind w:right="280"/>
        <w:jc w:val="both"/>
        <w:rPr>
          <w:rFonts w:hint="eastAsia" w:ascii="仿宋" w:hAnsi="仿宋" w:eastAsia="仿宋" w:cs="仿宋"/>
          <w:b w:val="0"/>
          <w:bCs w:val="0"/>
          <w:kern w:val="0"/>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D42C88"/>
    <w:rsid w:val="24D42C88"/>
    <w:rsid w:val="5FA63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uppressAutoHyphens/>
      <w:bidi w:val="0"/>
      <w:spacing w:before="0" w:after="140" w:line="276" w:lineRule="auto"/>
    </w:pPr>
    <w:rPr>
      <w:rFonts w:ascii="Calibri" w:hAnsi="Calibri" w:eastAsia="宋体" w:cs="Times New Roman"/>
      <w:color w:val="auto"/>
      <w:sz w:val="21"/>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2026-01-06T03:25:00Z</dcterms:created>
  <dc:creator>哈斯高娃:通知发起人</dc:creator>
  <cp:lastModifiedBy>哈斯高娃:通知发起人</cp:lastModifiedBy>
  <dcterms:modified xsi:type="dcterms:W3CDTF">2026-01-06T07:18:20Z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