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spacing w:line="580" w:lineRule="exact"/>
        <w:textAlignment w:val="auto"/>
        <w:rPr>
          <w:rFonts w:ascii="黑体" w:eastAsia="黑体"/>
          <w:sz w:val="32"/>
          <w:szCs w:val="32"/>
        </w:rPr>
      </w:pPr>
      <w:bookmarkStart w:id="0" w:name="标题"/>
      <w:bookmarkEnd w:id="0"/>
    </w:p>
    <w:p>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内蒙古自治区人民政府关于</w:t>
      </w:r>
    </w:p>
    <w:p>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禁止在内蒙古东辽河重点中小河流防洪</w:t>
      </w:r>
    </w:p>
    <w:p>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治理工程建设范围内新增建设项目和</w:t>
      </w:r>
    </w:p>
    <w:p>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迁入人口的通告</w:t>
      </w:r>
    </w:p>
    <w:p>
      <w:pPr>
        <w:pStyle w:val="2"/>
        <w:jc w:val="center"/>
        <w:rPr>
          <w:rFonts w:hint="eastAsia"/>
          <w:lang w:eastAsia="zh-CN"/>
        </w:rPr>
      </w:pPr>
      <w:bookmarkStart w:id="1" w:name="缓急"/>
      <w:bookmarkEnd w:id="1"/>
      <w:r>
        <w:rPr>
          <w:rFonts w:hint="eastAsia" w:ascii="仿宋_GB2312" w:eastAsia="仿宋_GB2312"/>
          <w:sz w:val="32"/>
          <w:szCs w:val="32"/>
          <w:lang w:eastAsia="zh-CN"/>
        </w:rPr>
        <w:t>内政字〔2026〕</w:t>
      </w:r>
      <w:r>
        <w:rPr>
          <w:rFonts w:hint="eastAsia" w:ascii="仿宋_GB2312" w:eastAsia="仿宋_GB2312"/>
          <w:sz w:val="32"/>
          <w:szCs w:val="32"/>
          <w:lang w:val="en-US" w:eastAsia="zh-CN"/>
        </w:rPr>
        <w:t>47</w:t>
      </w:r>
      <w:r>
        <w:rPr>
          <w:rFonts w:hint="eastAsia" w:ascii="仿宋_GB2312" w:eastAsia="仿宋_GB2312"/>
          <w:sz w:val="32"/>
          <w:szCs w:val="32"/>
          <w:lang w:eastAsia="zh-CN"/>
        </w:rPr>
        <w:t>号</w:t>
      </w:r>
    </w:p>
    <w:p>
      <w:pPr>
        <w:keepNext w:val="0"/>
        <w:keepLines w:val="0"/>
        <w:pageBreakBefore w:val="0"/>
        <w:widowControl w:val="0"/>
        <w:kinsoku/>
        <w:wordWrap/>
        <w:overflowPunct/>
        <w:topLinePunct/>
        <w:autoSpaceDE/>
        <w:autoSpaceDN/>
        <w:bidi w:val="0"/>
        <w:adjustRightInd/>
        <w:snapToGrid/>
        <w:spacing w:line="600" w:lineRule="exact"/>
        <w:textAlignment w:val="auto"/>
        <w:rPr>
          <w:rFonts w:hint="eastAsia" w:ascii="方正仿宋简体" w:hAnsi="方正仿宋简体" w:eastAsia="方正仿宋简体" w:cs="方正仿宋简体"/>
          <w:sz w:val="32"/>
          <w:lang w:val="en-US" w:eastAsia="zh-CN"/>
        </w:rPr>
      </w:pPr>
    </w:p>
    <w:p>
      <w:pPr>
        <w:keepNext w:val="0"/>
        <w:keepLines w:val="0"/>
        <w:pageBreakBefore w:val="0"/>
        <w:widowControl w:val="0"/>
        <w:kinsoku/>
        <w:wordWrap/>
        <w:overflowPunct/>
        <w:topLinePunct/>
        <w:autoSpaceDE/>
        <w:autoSpaceDN/>
        <w:bidi w:val="0"/>
        <w:adjustRightInd/>
        <w:snapToGrid/>
        <w:spacing w:line="600" w:lineRule="exact"/>
        <w:textAlignment w:val="auto"/>
        <w:rPr>
          <w:rFonts w:hint="eastAsia" w:ascii="仿宋" w:hAnsi="仿宋" w:eastAsia="仿宋" w:cs="仿宋"/>
          <w:sz w:val="32"/>
          <w:szCs w:val="32"/>
          <w:lang w:val="en-US" w:eastAsia="zh-CN"/>
        </w:rPr>
      </w:pPr>
      <w:bookmarkStart w:id="3" w:name="_GoBack"/>
      <w:r>
        <w:rPr>
          <w:rFonts w:hint="eastAsia" w:ascii="仿宋" w:hAnsi="仿宋" w:eastAsia="仿宋" w:cs="仿宋"/>
          <w:sz w:val="32"/>
          <w:szCs w:val="32"/>
          <w:lang w:val="en-US" w:eastAsia="zh-CN"/>
        </w:rPr>
        <w:t>通辽市人民政府，自治区各有关委、办、厅、局：</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内蒙古东辽河重点中小河流防洪治理工程是自治区拟实施的重点水利工程之一。为确保该工程建设征地和移民安置工作顺利实施，根据《大中型水利水电工程建设征地补偿和移民安置条例》</w:t>
      </w:r>
      <w:r>
        <w:rPr>
          <w:rFonts w:hint="eastAsia" w:ascii="仿宋" w:hAnsi="仿宋" w:eastAsia="仿宋" w:cs="仿宋"/>
          <w:sz w:val="32"/>
          <w:szCs w:val="32"/>
        </w:rPr>
        <w:t>（国务院令第</w:t>
      </w:r>
      <w:r>
        <w:rPr>
          <w:rFonts w:hint="eastAsia" w:ascii="仿宋" w:hAnsi="仿宋" w:eastAsia="仿宋" w:cs="仿宋"/>
          <w:sz w:val="32"/>
          <w:szCs w:val="32"/>
          <w:lang w:val="en-US" w:eastAsia="zh-CN"/>
        </w:rPr>
        <w:t>679</w:t>
      </w:r>
      <w:r>
        <w:rPr>
          <w:rFonts w:hint="eastAsia" w:ascii="仿宋" w:hAnsi="仿宋" w:eastAsia="仿宋" w:cs="仿宋"/>
          <w:sz w:val="32"/>
          <w:szCs w:val="32"/>
        </w:rPr>
        <w:t>号）</w:t>
      </w:r>
      <w:r>
        <w:rPr>
          <w:rFonts w:hint="eastAsia" w:ascii="仿宋" w:hAnsi="仿宋" w:eastAsia="仿宋" w:cs="仿宋"/>
          <w:sz w:val="32"/>
          <w:szCs w:val="32"/>
          <w:lang w:val="en-US" w:eastAsia="zh-CN"/>
        </w:rPr>
        <w:t>有关规定，现将有关事项通告如下：</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内蒙古东辽河重点中小河流防洪治理工程建设征地范围涉及通辽市科尔沁左翼后旗双胜镇保安村、朝阳村、东升村、二道河子村、丰富村、花大树村、继斌村、平安村、三江村、胜利村、十三崴子村、双布朗坨子村、向阳村、小坨子村、新街基村。具体范围以科尔沁左翼后旗人民政府公示的河道管理范围线拐点坐标为准。</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二、各级人民政府及相关部门不得在内蒙古东辽河重点中小河流防洪治理工程建设征地范围内批建各类基础设施（包括苏木乡镇企业和民用住宅）。</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任何单位和个人不得在工程建设范围内新建、扩建和改建项目，不得修建房屋及其他设施,不得改变原地类、地貌，不得从事抢开耕地、园地以及抢栽各种多年生经济作物和树木等改变土地用途和影响工程建设的活动。</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考虑内蒙古东辽河重点中小河流防洪治理工程建设周期较长，为确保当地群众正常生产生活不因工程建设受到太大的影响，对与当地群众生产生活直接相关的、确需建设的项目，要严格按照《大中型水利水电工程建设征地补偿和移民安置条例》有关规定，在报旗县级以上人民政府批准后，方可建设。</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加强对内蒙古东辽河重点中小河流防洪治理工程建设范围内的户籍管理，严格控制建设范围内的人口迁入。除出生、婚嫁、军人转业退伍、大中专毕业生、服刑期满释放人员等回籍人员外，各级人民政府和相关部门不得办理各类人口的迁入手续。</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六、对借工程征地搬迁之机煽动群众闹事、给征地搬迁工作制造障碍、阻碍工程建设等违法行为，由公安机关按照《中华人民共和国治安管理处罚法》的规定给予治安管理处罚。构成犯罪的，依法追究刑事责任。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本通告自发布之日起施行。</w:t>
      </w:r>
    </w:p>
    <w:p>
      <w:pPr>
        <w:pStyle w:val="2"/>
        <w:rPr>
          <w:rFonts w:hint="eastAsia" w:ascii="仿宋" w:hAnsi="仿宋" w:eastAsia="仿宋" w:cs="仿宋"/>
          <w:sz w:val="32"/>
          <w:szCs w:val="32"/>
          <w:lang w:val="en-US" w:eastAsia="zh-CN"/>
        </w:rPr>
      </w:pPr>
    </w:p>
    <w:p>
      <w:pPr>
        <w:rPr>
          <w:rFonts w:hint="eastAsia"/>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right="1176" w:rightChars="560" w:firstLine="5120" w:firstLineChars="16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eastAsia="仿宋_GB2312"/>
          <w:sz w:val="28"/>
          <w:szCs w:val="28"/>
        </w:rPr>
      </w:pPr>
      <w:r>
        <w:rPr>
          <w:rFonts w:hint="eastAsia" w:ascii="仿宋" w:hAnsi="仿宋" w:eastAsia="仿宋" w:cs="仿宋"/>
          <w:sz w:val="32"/>
          <w:szCs w:val="32"/>
          <w:lang w:val="en-US" w:eastAsia="zh-CN"/>
        </w:rPr>
        <w:t xml:space="preserve">    （此件公开发布）  </w:t>
      </w:r>
    </w:p>
    <w:bookmarkEnd w:id="3"/>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rPr>
          <w:rFonts w:hint="eastAsia"/>
        </w:rPr>
      </w:pPr>
    </w:p>
    <w:p>
      <w:pPr>
        <w:spacing w:line="400" w:lineRule="exact"/>
        <w:ind w:firstLine="280" w:firstLineChars="100"/>
        <w:rPr>
          <w:rFonts w:hint="eastAsia" w:ascii="仿宋_GB2312" w:eastAsia="仿宋_GB2312"/>
          <w:sz w:val="28"/>
        </w:rPr>
      </w:pPr>
      <w:r>
        <w:rPr>
          <w:rFonts w:hint="eastAsia" w:ascii="仿宋_GB2312" w:eastAsia="仿宋_GB2312"/>
          <w:sz w:val="28"/>
          <w:szCs w:val="28"/>
        </w:rPr>
        <w:t>抄送：</w:t>
      </w:r>
      <w:r>
        <w:rPr>
          <w:rFonts w:hint="eastAsia" w:ascii="仿宋_GB2312" w:eastAsia="仿宋_GB2312"/>
          <w:sz w:val="28"/>
        </w:rPr>
        <w:t>自治区党委各部门，内蒙古军区，武警内蒙古总队。</w:t>
      </w:r>
    </w:p>
    <w:p>
      <w:pPr>
        <w:spacing w:line="400" w:lineRule="exact"/>
        <w:rPr>
          <w:rFonts w:hint="eastAsia" w:ascii="仿宋_GB2312" w:eastAsia="仿宋_GB2312"/>
          <w:sz w:val="28"/>
          <w:lang w:eastAsia="zh-CN"/>
        </w:rPr>
      </w:pPr>
      <w:r>
        <w:rPr>
          <w:rFonts w:hint="eastAsia" w:ascii="仿宋_GB2312" w:eastAsia="仿宋_GB2312"/>
          <w:sz w:val="28"/>
          <w:lang w:val="en-US" w:eastAsia="zh-CN"/>
        </w:rPr>
        <w:t xml:space="preserve">        </w:t>
      </w:r>
      <w:r>
        <w:rPr>
          <w:rFonts w:hint="eastAsia" w:ascii="仿宋_GB2312" w:eastAsia="仿宋_GB2312"/>
          <w:sz w:val="28"/>
        </w:rPr>
        <w:t>自治区人大常委会办公厅</w:t>
      </w:r>
      <w:r>
        <w:rPr>
          <w:rFonts w:hint="eastAsia" w:ascii="仿宋_GB2312" w:eastAsia="仿宋_GB2312"/>
          <w:sz w:val="28"/>
          <w:lang w:eastAsia="zh-CN"/>
        </w:rPr>
        <w:t>，自治区</w:t>
      </w:r>
      <w:r>
        <w:rPr>
          <w:rFonts w:hint="eastAsia" w:ascii="仿宋_GB2312" w:eastAsia="仿宋_GB2312"/>
          <w:sz w:val="28"/>
        </w:rPr>
        <w:t>政协办公厅，</w:t>
      </w:r>
      <w:r>
        <w:rPr>
          <w:rFonts w:hint="eastAsia" w:ascii="仿宋_GB2312" w:eastAsia="仿宋_GB2312"/>
          <w:sz w:val="28"/>
          <w:lang w:eastAsia="zh-CN"/>
        </w:rPr>
        <w:t>自治区监委，</w:t>
      </w:r>
    </w:p>
    <w:p>
      <w:pPr>
        <w:spacing w:line="400" w:lineRule="exact"/>
        <w:rPr>
          <w:rFonts w:hint="eastAsia" w:ascii="仿宋_GB2312" w:eastAsia="仿宋_GB2312"/>
          <w:sz w:val="28"/>
        </w:rPr>
      </w:pPr>
      <w:r>
        <w:rPr>
          <w:rFonts w:hint="eastAsia" w:ascii="仿宋_GB2312" w:eastAsia="仿宋_GB2312"/>
          <w:sz w:val="28"/>
          <w:lang w:val="en-US" w:eastAsia="zh-CN"/>
        </w:rPr>
        <w:t xml:space="preserve">        </w:t>
      </w:r>
      <w:r>
        <w:rPr>
          <w:rFonts w:hint="eastAsia" w:ascii="仿宋_GB2312" w:eastAsia="仿宋_GB2312"/>
          <w:sz w:val="28"/>
          <w:lang w:eastAsia="zh-CN"/>
        </w:rPr>
        <w:t>自治区高</w:t>
      </w:r>
      <w:r>
        <w:rPr>
          <w:rFonts w:hint="eastAsia" w:ascii="仿宋_GB2312" w:eastAsia="仿宋_GB2312"/>
          <w:sz w:val="28"/>
        </w:rPr>
        <w:t>级人民法院，</w:t>
      </w:r>
      <w:r>
        <w:rPr>
          <w:rFonts w:hint="eastAsia" w:ascii="仿宋_GB2312" w:eastAsia="仿宋_GB2312"/>
          <w:sz w:val="28"/>
          <w:lang w:eastAsia="zh-CN"/>
        </w:rPr>
        <w:t>自治区人民</w:t>
      </w:r>
      <w:r>
        <w:rPr>
          <w:rFonts w:hint="eastAsia" w:ascii="仿宋_GB2312" w:eastAsia="仿宋_GB2312"/>
          <w:sz w:val="28"/>
        </w:rPr>
        <w:t>检察院。</w:t>
      </w:r>
    </w:p>
    <w:p>
      <w:pPr>
        <w:spacing w:line="400" w:lineRule="exact"/>
        <w:ind w:firstLine="1148" w:firstLineChars="410"/>
        <w:rPr>
          <w:rFonts w:hint="eastAsia"/>
        </w:rPr>
      </w:pPr>
      <w:r>
        <w:rPr>
          <w:rFonts w:hint="eastAsia" w:ascii="仿宋_GB2312" w:eastAsia="仿宋_GB2312"/>
          <w:sz w:val="28"/>
          <w:lang w:eastAsia="zh-CN"/>
        </w:rPr>
        <w:t>各民主党派区委会，</w:t>
      </w:r>
      <w:r>
        <w:rPr>
          <w:rFonts w:hint="eastAsia" w:ascii="仿宋_GB2312" w:eastAsia="仿宋_GB2312"/>
          <w:sz w:val="28"/>
        </w:rPr>
        <w:t>各人民团体，新闻单位。</w:t>
      </w:r>
      <w:r>
        <w:rPr>
          <w:rFonts w:hint="eastAsia"/>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670050" cy="519430"/>
                                  <wp:effectExtent l="0" t="0" r="6350" b="13970"/>
                                  <wp:docPr id="2" name="图片 3" descr="C:\Users\Administrator\Desktop\NZZ47.jpgNZZ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Z47.jpgNZZ47"/>
                                          <pic:cNvPicPr>
                                            <a:picLocks noChangeAspect="1"/>
                                          </pic:cNvPicPr>
                                        </pic:nvPicPr>
                                        <pic:blipFill>
                                          <a:blip r:embed="rId6"/>
                                          <a:stretch>
                                            <a:fillRect/>
                                          </a:stretch>
                                        </pic:blipFill>
                                        <pic:spPr>
                                          <a:xfrm>
                                            <a:off x="0" y="0"/>
                                            <a:ext cx="1670050" cy="519430"/>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7DiErL4BAABzAwAADgAAAGRycy9lMm9Eb2MueG1s&#10;rVPBbtswDL0P6D8Iuje2s3ZojTjF1iK9DNuAdh+gyLItQBIFSomdff0o2U239VYsB0UiHx/5SHpz&#10;N1nDjgqDBtfwalVyppyEVru+4T+fd5c3nIUoXCsMONXwkwr8bnvxYTP6Wq1hANMqZETiQj36hg8x&#10;+rooghyUFWEFXjlydoBWRHpiX7QoRmK3pliX5adiBGw9glQhkPVhdvJt5u86JeP3rgsqMtNwqi3m&#10;E/O5T2ex3Yi6R+EHLZcyxDuqsEI7SnqmehBRsAPqN1RWS4QAXVxJsAV0nZYqayA1VfmPmqdBeJW1&#10;UHOCP7cp/D9a+e34A5luaXacOWFpRM9qiuwLTGydujP6UBPoyRMsTmROyMUeyJhETx3a9E9yGPmp&#10;z6dzbxOZTEG3Vx+rklySfDe31fVVbn7xGu0xxEcFlqVLw5Fml1sqjl9DpIwEfYGkZAGMbnfamPzA&#10;fn9vkB0FzXmXf6lICvkLZlwCO0hhsztZiqRx1pJucdpPi8A9tCfSTftNBQ2AvzgbaVca7miZORNO&#10;krHh8eV6H+fVOnjU/UAxVVYQ/OdDpKRZRUox8y6ZabK50mUL0+r8+c6o129l+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7DiEr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670050" cy="519430"/>
                            <wp:effectExtent l="0" t="0" r="6350" b="13970"/>
                            <wp:docPr id="2" name="图片 3" descr="C:\Users\Administrator\Desktop\NZZ47.jpgNZZ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Z47.jpgNZZ47"/>
                                    <pic:cNvPicPr>
                                      <a:picLocks noChangeAspect="1"/>
                                    </pic:cNvPicPr>
                                  </pic:nvPicPr>
                                  <pic:blipFill>
                                    <a:blip r:embed="rId6"/>
                                    <a:stretch>
                                      <a:fillRect/>
                                    </a:stretch>
                                  </pic:blipFill>
                                  <pic:spPr>
                                    <a:xfrm>
                                      <a:off x="0" y="0"/>
                                      <a:ext cx="1670050" cy="519430"/>
                                    </a:xfrm>
                                    <a:prstGeom prst="rect">
                                      <a:avLst/>
                                    </a:prstGeom>
                                    <a:noFill/>
                                    <a:ln>
                                      <a:noFill/>
                                    </a:ln>
                                  </pic:spPr>
                                </pic:pic>
                              </a:graphicData>
                            </a:graphic>
                          </wp:inline>
                        </w:drawing>
                      </w:r>
                    </w:p>
                  </w:txbxContent>
                </v:textbox>
              </v:shape>
            </w:pict>
          </mc:Fallback>
        </mc:AlternateContent>
      </w:r>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2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lang/>
      </w:rPr>
      <w:t>- 3 -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- 2 -</w:t>
    </w:r>
    <w:r>
      <w:rPr>
        <w:rFonts w:ascii="宋体" w:hAnsi="宋体"/>
        <w:sz w:val="28"/>
        <w:szCs w:val="28"/>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FB24AC"/>
    <w:rsid w:val="00000DA3"/>
    <w:rsid w:val="00057363"/>
    <w:rsid w:val="00062858"/>
    <w:rsid w:val="000F6A27"/>
    <w:rsid w:val="000F7DFD"/>
    <w:rsid w:val="001B7709"/>
    <w:rsid w:val="002970B9"/>
    <w:rsid w:val="002B29B9"/>
    <w:rsid w:val="00302982"/>
    <w:rsid w:val="00323128"/>
    <w:rsid w:val="00337358"/>
    <w:rsid w:val="00340367"/>
    <w:rsid w:val="00351DB4"/>
    <w:rsid w:val="0039177C"/>
    <w:rsid w:val="00396618"/>
    <w:rsid w:val="00416A0B"/>
    <w:rsid w:val="0044339D"/>
    <w:rsid w:val="00444154"/>
    <w:rsid w:val="00455973"/>
    <w:rsid w:val="00483E09"/>
    <w:rsid w:val="004A5BD5"/>
    <w:rsid w:val="004B2561"/>
    <w:rsid w:val="004E31DF"/>
    <w:rsid w:val="00527E88"/>
    <w:rsid w:val="005C7397"/>
    <w:rsid w:val="006013A0"/>
    <w:rsid w:val="006048D6"/>
    <w:rsid w:val="006114C2"/>
    <w:rsid w:val="006A2C65"/>
    <w:rsid w:val="006C713C"/>
    <w:rsid w:val="007512D9"/>
    <w:rsid w:val="00755D27"/>
    <w:rsid w:val="00773C5D"/>
    <w:rsid w:val="0077781A"/>
    <w:rsid w:val="007C6807"/>
    <w:rsid w:val="00806E28"/>
    <w:rsid w:val="00825CE1"/>
    <w:rsid w:val="008321A8"/>
    <w:rsid w:val="008408A0"/>
    <w:rsid w:val="00861E84"/>
    <w:rsid w:val="00896DF6"/>
    <w:rsid w:val="008D075D"/>
    <w:rsid w:val="008E482C"/>
    <w:rsid w:val="00926885"/>
    <w:rsid w:val="009606EB"/>
    <w:rsid w:val="009721B9"/>
    <w:rsid w:val="00AA4AED"/>
    <w:rsid w:val="00AC3BB4"/>
    <w:rsid w:val="00B32830"/>
    <w:rsid w:val="00B33ED2"/>
    <w:rsid w:val="00B52F22"/>
    <w:rsid w:val="00B558E6"/>
    <w:rsid w:val="00B8542C"/>
    <w:rsid w:val="00C809B3"/>
    <w:rsid w:val="00CA468C"/>
    <w:rsid w:val="00CB0B2B"/>
    <w:rsid w:val="00CC1415"/>
    <w:rsid w:val="00D3579F"/>
    <w:rsid w:val="00D95E50"/>
    <w:rsid w:val="00DB1EEF"/>
    <w:rsid w:val="00DD4FCD"/>
    <w:rsid w:val="00DD700A"/>
    <w:rsid w:val="00DF62D9"/>
    <w:rsid w:val="00E751C2"/>
    <w:rsid w:val="00F16D0D"/>
    <w:rsid w:val="00F51616"/>
    <w:rsid w:val="00F651C3"/>
    <w:rsid w:val="00F71128"/>
    <w:rsid w:val="00F94438"/>
    <w:rsid w:val="00FB760A"/>
    <w:rsid w:val="00FE2B87"/>
    <w:rsid w:val="01715CEB"/>
    <w:rsid w:val="01B673A5"/>
    <w:rsid w:val="020A5573"/>
    <w:rsid w:val="027163F5"/>
    <w:rsid w:val="03130023"/>
    <w:rsid w:val="031A556A"/>
    <w:rsid w:val="04553DE4"/>
    <w:rsid w:val="045B66B2"/>
    <w:rsid w:val="06DC3C4A"/>
    <w:rsid w:val="07DB7F7C"/>
    <w:rsid w:val="0A1149A8"/>
    <w:rsid w:val="0AE879CD"/>
    <w:rsid w:val="0AFF591D"/>
    <w:rsid w:val="0B9C3A49"/>
    <w:rsid w:val="0C9D102A"/>
    <w:rsid w:val="0DFF3B00"/>
    <w:rsid w:val="0EBE08C3"/>
    <w:rsid w:val="0F380010"/>
    <w:rsid w:val="0F4120BD"/>
    <w:rsid w:val="0F8F3712"/>
    <w:rsid w:val="10A62BEA"/>
    <w:rsid w:val="11A7746D"/>
    <w:rsid w:val="11A9203E"/>
    <w:rsid w:val="12026270"/>
    <w:rsid w:val="120E42D5"/>
    <w:rsid w:val="146D704D"/>
    <w:rsid w:val="17FB24AC"/>
    <w:rsid w:val="180C2802"/>
    <w:rsid w:val="1BA7556B"/>
    <w:rsid w:val="1BFDD4A3"/>
    <w:rsid w:val="1DDD24D2"/>
    <w:rsid w:val="1E1B52B7"/>
    <w:rsid w:val="1E785972"/>
    <w:rsid w:val="1E7F46B4"/>
    <w:rsid w:val="1F0F06E9"/>
    <w:rsid w:val="1F6C47FF"/>
    <w:rsid w:val="1F9610DD"/>
    <w:rsid w:val="1FBB5FED"/>
    <w:rsid w:val="1FF5239A"/>
    <w:rsid w:val="209F1BBA"/>
    <w:rsid w:val="20B5562B"/>
    <w:rsid w:val="217D23BA"/>
    <w:rsid w:val="25C368AC"/>
    <w:rsid w:val="26154A57"/>
    <w:rsid w:val="27054714"/>
    <w:rsid w:val="27355263"/>
    <w:rsid w:val="27B7431E"/>
    <w:rsid w:val="27E04077"/>
    <w:rsid w:val="286F5DA8"/>
    <w:rsid w:val="29255FCE"/>
    <w:rsid w:val="29340AB0"/>
    <w:rsid w:val="293A1558"/>
    <w:rsid w:val="29A62830"/>
    <w:rsid w:val="2A3A0933"/>
    <w:rsid w:val="2AAFBCCE"/>
    <w:rsid w:val="2AF61794"/>
    <w:rsid w:val="2BBC4266"/>
    <w:rsid w:val="2C731108"/>
    <w:rsid w:val="2CB76F52"/>
    <w:rsid w:val="2D73499D"/>
    <w:rsid w:val="30CD6C9E"/>
    <w:rsid w:val="317B493D"/>
    <w:rsid w:val="326822C2"/>
    <w:rsid w:val="351D2CFA"/>
    <w:rsid w:val="36193767"/>
    <w:rsid w:val="376B929C"/>
    <w:rsid w:val="37F78E52"/>
    <w:rsid w:val="38A60636"/>
    <w:rsid w:val="393D24C6"/>
    <w:rsid w:val="39C84E9E"/>
    <w:rsid w:val="3AF834CA"/>
    <w:rsid w:val="3B0C717F"/>
    <w:rsid w:val="3BB75E87"/>
    <w:rsid w:val="3C6B6EA5"/>
    <w:rsid w:val="3D1A25BA"/>
    <w:rsid w:val="3DB93D7E"/>
    <w:rsid w:val="3E8003A9"/>
    <w:rsid w:val="3FD617D1"/>
    <w:rsid w:val="3FEF08E4"/>
    <w:rsid w:val="3FFAF0B8"/>
    <w:rsid w:val="3FFD71A6"/>
    <w:rsid w:val="401D72F5"/>
    <w:rsid w:val="41386A17"/>
    <w:rsid w:val="42B61283"/>
    <w:rsid w:val="44786917"/>
    <w:rsid w:val="455967A9"/>
    <w:rsid w:val="455F3977"/>
    <w:rsid w:val="46BA2BBC"/>
    <w:rsid w:val="46DF4488"/>
    <w:rsid w:val="478C3379"/>
    <w:rsid w:val="4814620B"/>
    <w:rsid w:val="48762510"/>
    <w:rsid w:val="487A4700"/>
    <w:rsid w:val="499E45D8"/>
    <w:rsid w:val="4A5508A7"/>
    <w:rsid w:val="4CAC4573"/>
    <w:rsid w:val="4FD33F1F"/>
    <w:rsid w:val="4FD817BC"/>
    <w:rsid w:val="500B2151"/>
    <w:rsid w:val="50591497"/>
    <w:rsid w:val="513B7C42"/>
    <w:rsid w:val="51942682"/>
    <w:rsid w:val="5232472D"/>
    <w:rsid w:val="52AF5E68"/>
    <w:rsid w:val="52EF29A1"/>
    <w:rsid w:val="52F83839"/>
    <w:rsid w:val="54020F64"/>
    <w:rsid w:val="55077458"/>
    <w:rsid w:val="556E4ED2"/>
    <w:rsid w:val="56486D9F"/>
    <w:rsid w:val="57351534"/>
    <w:rsid w:val="579144D5"/>
    <w:rsid w:val="57EB50F1"/>
    <w:rsid w:val="581234E4"/>
    <w:rsid w:val="5A9E268E"/>
    <w:rsid w:val="5ABF37D8"/>
    <w:rsid w:val="5BA5123A"/>
    <w:rsid w:val="5C862D38"/>
    <w:rsid w:val="5D182B8A"/>
    <w:rsid w:val="5D3C54D8"/>
    <w:rsid w:val="5E9241CC"/>
    <w:rsid w:val="5EBE6860"/>
    <w:rsid w:val="5EBE8703"/>
    <w:rsid w:val="5FC47C57"/>
    <w:rsid w:val="612A5090"/>
    <w:rsid w:val="6188231B"/>
    <w:rsid w:val="62593EFD"/>
    <w:rsid w:val="63545FA5"/>
    <w:rsid w:val="637F7A6F"/>
    <w:rsid w:val="648D579B"/>
    <w:rsid w:val="650E2E84"/>
    <w:rsid w:val="651313E3"/>
    <w:rsid w:val="6537F532"/>
    <w:rsid w:val="6596345F"/>
    <w:rsid w:val="671D4AA2"/>
    <w:rsid w:val="673546F4"/>
    <w:rsid w:val="67C51795"/>
    <w:rsid w:val="67C742AE"/>
    <w:rsid w:val="68C13D1E"/>
    <w:rsid w:val="69957DEC"/>
    <w:rsid w:val="69AA7AA3"/>
    <w:rsid w:val="6ADE316A"/>
    <w:rsid w:val="6C2C5C3E"/>
    <w:rsid w:val="6C564AE8"/>
    <w:rsid w:val="6DBB9AA5"/>
    <w:rsid w:val="6DBF0EF9"/>
    <w:rsid w:val="6DF72075"/>
    <w:rsid w:val="6F3F8B79"/>
    <w:rsid w:val="6FED831E"/>
    <w:rsid w:val="71BE5B3E"/>
    <w:rsid w:val="71FEB3DA"/>
    <w:rsid w:val="71FFB6EF"/>
    <w:rsid w:val="731829DE"/>
    <w:rsid w:val="74022FCB"/>
    <w:rsid w:val="749DF825"/>
    <w:rsid w:val="75F7C34A"/>
    <w:rsid w:val="76167F2F"/>
    <w:rsid w:val="76240541"/>
    <w:rsid w:val="77BE7799"/>
    <w:rsid w:val="77FAAEA6"/>
    <w:rsid w:val="77FF366F"/>
    <w:rsid w:val="77FF71B5"/>
    <w:rsid w:val="77FF71E8"/>
    <w:rsid w:val="78EDE885"/>
    <w:rsid w:val="78FFD639"/>
    <w:rsid w:val="79A0A23F"/>
    <w:rsid w:val="7A0176CA"/>
    <w:rsid w:val="7BF30C0A"/>
    <w:rsid w:val="7BFD80A3"/>
    <w:rsid w:val="7C7734A3"/>
    <w:rsid w:val="7D1850A2"/>
    <w:rsid w:val="7D477D4A"/>
    <w:rsid w:val="7D705487"/>
    <w:rsid w:val="7D788886"/>
    <w:rsid w:val="7DA83E82"/>
    <w:rsid w:val="7E2AD336"/>
    <w:rsid w:val="7EBB92D1"/>
    <w:rsid w:val="7EFEC758"/>
    <w:rsid w:val="7F33F7B5"/>
    <w:rsid w:val="7F5C413B"/>
    <w:rsid w:val="7F8F278C"/>
    <w:rsid w:val="7FBF889D"/>
    <w:rsid w:val="7FCF80A8"/>
    <w:rsid w:val="7FEB0920"/>
    <w:rsid w:val="7FFF4912"/>
    <w:rsid w:val="97FF1FD5"/>
    <w:rsid w:val="9E3F7490"/>
    <w:rsid w:val="ABFD8EEE"/>
    <w:rsid w:val="AFDF8D74"/>
    <w:rsid w:val="BBF509E5"/>
    <w:rsid w:val="BDFF3F20"/>
    <w:rsid w:val="CA9E998D"/>
    <w:rsid w:val="D5F6A5C5"/>
    <w:rsid w:val="D7DD3B90"/>
    <w:rsid w:val="DF2B9BD6"/>
    <w:rsid w:val="DF64D2AF"/>
    <w:rsid w:val="DFFA593E"/>
    <w:rsid w:val="EA7F93B3"/>
    <w:rsid w:val="EBFB8AAA"/>
    <w:rsid w:val="EFF7640A"/>
    <w:rsid w:val="F33D159E"/>
    <w:rsid w:val="F5DFD127"/>
    <w:rsid w:val="F6FD3568"/>
    <w:rsid w:val="F774BE65"/>
    <w:rsid w:val="F7D30B1D"/>
    <w:rsid w:val="FADD7F32"/>
    <w:rsid w:val="FAEBE9AD"/>
    <w:rsid w:val="FB16D14A"/>
    <w:rsid w:val="FB238A89"/>
    <w:rsid w:val="FBCDA1FD"/>
    <w:rsid w:val="FC4F7A5A"/>
    <w:rsid w:val="FD50A4B2"/>
    <w:rsid w:val="FDB59638"/>
    <w:rsid w:val="FDD9A772"/>
    <w:rsid w:val="FDEF5D84"/>
    <w:rsid w:val="FDF24A08"/>
    <w:rsid w:val="FDFBD02E"/>
    <w:rsid w:val="FEF757A1"/>
    <w:rsid w:val="FEFB4127"/>
    <w:rsid w:val="FF31AF83"/>
    <w:rsid w:val="FF675C87"/>
    <w:rsid w:val="FFCE7327"/>
    <w:rsid w:val="FFCF47DF"/>
    <w:rsid w:val="FFCF9D94"/>
    <w:rsid w:val="FFD90DAC"/>
    <w:rsid w:val="FFDEAD75"/>
    <w:rsid w:val="FFF456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Normal Indent"/>
    <w:basedOn w:val="1"/>
    <w:next w:val="1"/>
    <w:unhideWhenUsed/>
    <w:qFormat/>
    <w:uiPriority w:val="99"/>
    <w:pPr>
      <w:adjustRightInd w:val="0"/>
      <w:spacing w:line="360" w:lineRule="atLeast"/>
      <w:ind w:firstLine="420"/>
      <w:jc w:val="left"/>
      <w:textAlignment w:val="baseline"/>
    </w:pPr>
    <w:rPr>
      <w:rFonts w:ascii="Times New Roman" w:hAnsi="Times New Roman" w:eastAsia="宋体" w:cs="Times New Roman"/>
      <w:kern w:val="0"/>
      <w:sz w:val="24"/>
      <w:szCs w:val="20"/>
    </w:rPr>
  </w:style>
  <w:style w:type="paragraph" w:styleId="3">
    <w:name w:val="Body Text"/>
    <w:basedOn w:val="1"/>
    <w:uiPriority w:val="0"/>
    <w:pPr>
      <w:spacing w:after="120"/>
    </w:pPr>
    <w:rPr>
      <w:rFonts w:ascii="Times New Roman" w:hAnsi="Times New Roman" w:eastAsia="宋体" w:cs="Times New Roman"/>
      <w:szCs w:val="22"/>
    </w:rPr>
  </w:style>
  <w:style w:type="paragraph" w:styleId="4">
    <w:name w:val="Balloon Text"/>
    <w:basedOn w:val="1"/>
    <w:uiPriority w:val="0"/>
    <w:rPr>
      <w:rFonts w:ascii="Times New Roman" w:hAnsi="Times New Roman" w:eastAsia="宋体" w:cs="Times New Roman"/>
      <w:sz w:val="18"/>
      <w:szCs w:val="18"/>
    </w:r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uiPriority w:val="0"/>
  </w:style>
  <w:style w:type="character" w:customStyle="1" w:styleId="12">
    <w:name w:val="页脚 Char"/>
    <w:link w:val="5"/>
    <w:uiPriority w:val="99"/>
    <w:rPr>
      <w:rFonts w:ascii="Calibri" w:hAnsi="Calibri" w:eastAsia="宋体" w:cs="Times New Roman"/>
      <w:kern w:val="2"/>
      <w:sz w:val="18"/>
      <w:szCs w:val="18"/>
    </w:rPr>
  </w:style>
  <w:style w:type="character" w:customStyle="1" w:styleId="13">
    <w:name w:val="页眉 Char"/>
    <w:link w:val="6"/>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5</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哈斯高娃:通知发起人</cp:lastModifiedBy>
  <dcterms:modified xsi:type="dcterms:W3CDTF">2026-03-20T03:21:31Z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